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E10" w:rsidRDefault="00C17E10" w:rsidP="00C17E10">
      <w:pPr>
        <w:widowControl w:val="0"/>
        <w:shd w:val="clear" w:color="auto" w:fill="FFFFFF"/>
        <w:overflowPunct/>
        <w:rPr>
          <w:color w:val="000000"/>
          <w:spacing w:val="-1"/>
          <w:w w:val="93"/>
        </w:rPr>
      </w:pPr>
      <w:r>
        <w:rPr>
          <w:color w:val="000000"/>
          <w:spacing w:val="-1"/>
          <w:w w:val="93"/>
        </w:rPr>
        <w:t xml:space="preserve">         Администрация </w:t>
      </w:r>
    </w:p>
    <w:p w:rsidR="00C17E10" w:rsidRDefault="00C17E10" w:rsidP="00C17E10">
      <w:pPr>
        <w:widowControl w:val="0"/>
        <w:shd w:val="clear" w:color="auto" w:fill="FFFFFF"/>
        <w:overflowPunct/>
        <w:rPr>
          <w:color w:val="000000"/>
          <w:spacing w:val="-3"/>
          <w:w w:val="93"/>
        </w:rPr>
      </w:pPr>
      <w:r>
        <w:rPr>
          <w:color w:val="000000"/>
          <w:spacing w:val="-3"/>
          <w:w w:val="93"/>
        </w:rPr>
        <w:t>муниципального образования</w:t>
      </w:r>
    </w:p>
    <w:p w:rsidR="00C17E10" w:rsidRDefault="00C17E10" w:rsidP="00C17E10">
      <w:pPr>
        <w:widowControl w:val="0"/>
        <w:shd w:val="clear" w:color="auto" w:fill="FFFFFF"/>
        <w:overflowPunct/>
        <w:rPr>
          <w:rFonts w:ascii="Arial" w:hAnsi="Arial" w:cs="Arial"/>
          <w:color w:val="000000"/>
        </w:rPr>
      </w:pPr>
      <w:r>
        <w:rPr>
          <w:color w:val="000000"/>
          <w:spacing w:val="-3"/>
          <w:w w:val="93"/>
        </w:rPr>
        <w:t xml:space="preserve">      </w:t>
      </w:r>
      <w:proofErr w:type="spellStart"/>
      <w:r>
        <w:rPr>
          <w:color w:val="000000"/>
          <w:spacing w:val="-3"/>
          <w:w w:val="93"/>
        </w:rPr>
        <w:t>Сакмарский</w:t>
      </w:r>
      <w:proofErr w:type="spellEnd"/>
      <w:r>
        <w:rPr>
          <w:color w:val="000000"/>
          <w:spacing w:val="-3"/>
          <w:w w:val="93"/>
        </w:rPr>
        <w:t xml:space="preserve"> сельсовет</w:t>
      </w:r>
    </w:p>
    <w:p w:rsidR="00C17E10" w:rsidRDefault="00C17E10" w:rsidP="00C17E10">
      <w:pPr>
        <w:widowControl w:val="0"/>
        <w:shd w:val="clear" w:color="auto" w:fill="FFFFFF"/>
        <w:overflowPunct/>
        <w:rPr>
          <w:color w:val="000000"/>
          <w:spacing w:val="-1"/>
          <w:w w:val="93"/>
        </w:rPr>
      </w:pPr>
      <w:r>
        <w:rPr>
          <w:color w:val="000000"/>
          <w:spacing w:val="-1"/>
          <w:w w:val="93"/>
        </w:rPr>
        <w:t xml:space="preserve">      </w:t>
      </w:r>
      <w:proofErr w:type="spellStart"/>
      <w:r>
        <w:rPr>
          <w:color w:val="000000"/>
          <w:spacing w:val="-1"/>
          <w:w w:val="93"/>
        </w:rPr>
        <w:t>Сакмарского</w:t>
      </w:r>
      <w:proofErr w:type="spellEnd"/>
      <w:r>
        <w:rPr>
          <w:color w:val="000000"/>
          <w:spacing w:val="-1"/>
          <w:w w:val="93"/>
        </w:rPr>
        <w:t xml:space="preserve">  района</w:t>
      </w:r>
    </w:p>
    <w:p w:rsidR="00C17E10" w:rsidRDefault="00C17E10" w:rsidP="00C17E10">
      <w:pPr>
        <w:widowControl w:val="0"/>
        <w:shd w:val="clear" w:color="auto" w:fill="FFFFFF"/>
        <w:overflowPunct/>
        <w:rPr>
          <w:color w:val="000000"/>
          <w:spacing w:val="-3"/>
          <w:w w:val="93"/>
        </w:rPr>
      </w:pPr>
      <w:r>
        <w:rPr>
          <w:color w:val="000000"/>
          <w:spacing w:val="-1"/>
          <w:w w:val="93"/>
        </w:rPr>
        <w:t xml:space="preserve">    </w:t>
      </w:r>
      <w:r>
        <w:rPr>
          <w:color w:val="000000"/>
          <w:spacing w:val="-3"/>
          <w:w w:val="93"/>
        </w:rPr>
        <w:t xml:space="preserve">Оренбургской области </w:t>
      </w:r>
    </w:p>
    <w:p w:rsidR="00C17E10" w:rsidRDefault="00C17E10" w:rsidP="00C17E10">
      <w:pPr>
        <w:widowControl w:val="0"/>
        <w:shd w:val="clear" w:color="auto" w:fill="FFFFFF"/>
        <w:overflowPunct/>
        <w:rPr>
          <w:color w:val="000000"/>
          <w:spacing w:val="-3"/>
          <w:w w:val="93"/>
        </w:rPr>
      </w:pPr>
      <w:r>
        <w:rPr>
          <w:color w:val="000000"/>
          <w:spacing w:val="-3"/>
          <w:w w:val="93"/>
        </w:rPr>
        <w:t xml:space="preserve">      </w:t>
      </w:r>
      <w:r>
        <w:rPr>
          <w:color w:val="000000"/>
          <w:spacing w:val="-1"/>
          <w:w w:val="93"/>
        </w:rPr>
        <w:t>ПОСТАНОВЛЕНИЕ</w:t>
      </w:r>
    </w:p>
    <w:p w:rsidR="00C17E10" w:rsidRDefault="00C17E10" w:rsidP="00C17E10">
      <w:pPr>
        <w:widowControl w:val="0"/>
        <w:shd w:val="clear" w:color="auto" w:fill="FFFFFF"/>
        <w:overflowPunct/>
        <w:rPr>
          <w:color w:val="000000"/>
          <w:u w:val="single"/>
        </w:rPr>
      </w:pPr>
      <w:r>
        <w:rPr>
          <w:color w:val="000000"/>
        </w:rPr>
        <w:t xml:space="preserve">    </w:t>
      </w:r>
      <w:r>
        <w:rPr>
          <w:color w:val="000000"/>
          <w:u w:val="single"/>
        </w:rPr>
        <w:t xml:space="preserve">от 25 марта 2020 г. №  37-п      </w:t>
      </w:r>
    </w:p>
    <w:p w:rsidR="00C17E10" w:rsidRDefault="00C17E10" w:rsidP="00C17E10">
      <w:pPr>
        <w:widowControl w:val="0"/>
        <w:shd w:val="clear" w:color="auto" w:fill="FFFFFF"/>
        <w:overflowPunct/>
        <w:rPr>
          <w:color w:val="000000"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 Сакмара</w:t>
      </w:r>
    </w:p>
    <w:p w:rsidR="00C17E10" w:rsidRDefault="00C17E10" w:rsidP="00C17E10">
      <w:pPr>
        <w:widowControl w:val="0"/>
        <w:shd w:val="clear" w:color="auto" w:fill="FFFFFF"/>
        <w:overflowPunct/>
        <w:rPr>
          <w:color w:val="000000"/>
        </w:rPr>
      </w:pPr>
    </w:p>
    <w:p w:rsidR="00C17E10" w:rsidRDefault="00C17E10" w:rsidP="00C17E10">
      <w:pPr>
        <w:widowControl w:val="0"/>
        <w:shd w:val="clear" w:color="auto" w:fill="FFFFFF"/>
        <w:overflowPunct/>
      </w:pPr>
      <w:r>
        <w:t>О мерах по реализации решения Совета</w:t>
      </w:r>
    </w:p>
    <w:p w:rsidR="00C17E10" w:rsidRDefault="00C17E10" w:rsidP="00C17E10">
      <w:pPr>
        <w:widowControl w:val="0"/>
        <w:shd w:val="clear" w:color="auto" w:fill="FFFFFF"/>
        <w:overflowPunct/>
      </w:pPr>
      <w:r>
        <w:t xml:space="preserve">депутатов </w:t>
      </w:r>
      <w:proofErr w:type="spellStart"/>
      <w:r>
        <w:t>Сакмарского</w:t>
      </w:r>
      <w:proofErr w:type="spellEnd"/>
      <w:r>
        <w:t xml:space="preserve"> сельсовета</w:t>
      </w:r>
    </w:p>
    <w:p w:rsidR="00C17E10" w:rsidRDefault="00C17E10" w:rsidP="00C17E10">
      <w:pPr>
        <w:widowControl w:val="0"/>
        <w:shd w:val="clear" w:color="auto" w:fill="FFFFFF"/>
        <w:overflowPunct/>
      </w:pPr>
      <w:r>
        <w:t xml:space="preserve">«О бюджете на 2020 год и плановый </w:t>
      </w:r>
    </w:p>
    <w:p w:rsidR="00C17E10" w:rsidRDefault="00C17E10" w:rsidP="00C17E10">
      <w:pPr>
        <w:widowControl w:val="0"/>
        <w:shd w:val="clear" w:color="auto" w:fill="FFFFFF"/>
        <w:overflowPunct/>
        <w:rPr>
          <w:rFonts w:ascii="Arial" w:hAnsi="Arial" w:cs="Arial"/>
          <w:color w:val="000000"/>
        </w:rPr>
      </w:pPr>
      <w:r>
        <w:t>период 2021 и 2022 годов»</w:t>
      </w:r>
    </w:p>
    <w:p w:rsidR="00C17E10" w:rsidRDefault="00C17E10" w:rsidP="00C17E10">
      <w:pPr>
        <w:pStyle w:val="1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17E10" w:rsidRDefault="00C17E10" w:rsidP="00C17E10">
      <w:pPr>
        <w:pStyle w:val="1"/>
        <w:ind w:hanging="284"/>
        <w:jc w:val="both"/>
      </w:pPr>
      <w:r>
        <w:t xml:space="preserve">        </w:t>
      </w:r>
    </w:p>
    <w:p w:rsidR="00C17E10" w:rsidRDefault="00C17E10" w:rsidP="00C17E10">
      <w:pPr>
        <w:pStyle w:val="1"/>
        <w:ind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b w:val="0"/>
          <w:sz w:val="28"/>
          <w:szCs w:val="28"/>
        </w:rPr>
        <w:t xml:space="preserve">В целях реализации решения Совета депутатов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от 26.12.2019 № 215 «О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бюджете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а на 2020 год и плановый период 2021 и 2022 годов»</w:t>
      </w:r>
      <w:r>
        <w:rPr>
          <w:rFonts w:ascii="Times New Roman" w:hAnsi="Times New Roman"/>
          <w:sz w:val="28"/>
          <w:szCs w:val="28"/>
        </w:rPr>
        <w:t>:</w:t>
      </w:r>
    </w:p>
    <w:p w:rsidR="00C17E10" w:rsidRDefault="00C17E10" w:rsidP="00C17E10"/>
    <w:p w:rsidR="00C17E10" w:rsidRDefault="00C17E10" w:rsidP="00C17E10">
      <w:pPr>
        <w:numPr>
          <w:ilvl w:val="0"/>
          <w:numId w:val="1"/>
        </w:numPr>
        <w:suppressAutoHyphens/>
        <w:jc w:val="both"/>
      </w:pPr>
      <w:bookmarkStart w:id="0" w:name="sub_1"/>
      <w:r>
        <w:t xml:space="preserve">Принять к исполнению местный бюджет на 2020 год и плановый </w:t>
      </w:r>
    </w:p>
    <w:p w:rsidR="00C17E10" w:rsidRDefault="00C17E10" w:rsidP="00C17E10">
      <w:pPr>
        <w:suppressAutoHyphens/>
        <w:jc w:val="both"/>
      </w:pPr>
      <w:r>
        <w:t>период 2021 и 2022 годов.</w:t>
      </w:r>
    </w:p>
    <w:p w:rsidR="00C17E10" w:rsidRDefault="00C17E10" w:rsidP="00C17E10">
      <w:pPr>
        <w:suppressAutoHyphens/>
        <w:ind w:left="706"/>
        <w:jc w:val="both"/>
      </w:pPr>
    </w:p>
    <w:p w:rsidR="00C17E10" w:rsidRDefault="00C17E10" w:rsidP="00C17E10">
      <w:pPr>
        <w:suppressAutoHyphens/>
        <w:ind w:hanging="284"/>
        <w:jc w:val="both"/>
      </w:pPr>
      <w:bookmarkStart w:id="1" w:name="sub_2"/>
      <w:bookmarkEnd w:id="0"/>
      <w:r>
        <w:t xml:space="preserve">         2. Главе муниципального образования, заместителю главы, специалистам администрации сельсовета проводить постоянную работу с налогоплательщиками – юридическими лицами, индивидуальными предпринимателями, физическими лицами с целью обеспечения ими своевременных расчетов по платежам в бюджеты всех уровней.</w:t>
      </w:r>
    </w:p>
    <w:p w:rsidR="00C17E10" w:rsidRDefault="00C17E10" w:rsidP="00C17E10">
      <w:pPr>
        <w:suppressAutoHyphens/>
        <w:ind w:hanging="284"/>
        <w:jc w:val="both"/>
      </w:pPr>
    </w:p>
    <w:p w:rsidR="00C17E10" w:rsidRDefault="00C17E10" w:rsidP="00C17E10">
      <w:pPr>
        <w:suppressAutoHyphens/>
        <w:ind w:hanging="284"/>
        <w:jc w:val="both"/>
      </w:pPr>
      <w:bookmarkStart w:id="2" w:name="sub_4"/>
      <w:bookmarkEnd w:id="1"/>
      <w:r>
        <w:t xml:space="preserve">        3.</w:t>
      </w:r>
      <w:bookmarkStart w:id="3" w:name="sub_51"/>
      <w:bookmarkEnd w:id="2"/>
      <w:r>
        <w:t xml:space="preserve"> Обеспечить исполнение плановых назначений по налоговым и неналоговым доходам, утвержденных решением Совета депутатов </w:t>
      </w:r>
      <w:proofErr w:type="spellStart"/>
      <w:r>
        <w:t>Сакмарского</w:t>
      </w:r>
      <w:proofErr w:type="spellEnd"/>
      <w:r>
        <w:t xml:space="preserve"> сельсовета о бюджете на 2020 год и плановый период 2021 и 2022 годов, принять меры по сокращению задолженности по уплате налоговых и неналоговых платежей.</w:t>
      </w:r>
      <w:bookmarkStart w:id="4" w:name="sub_6"/>
      <w:bookmarkEnd w:id="3"/>
    </w:p>
    <w:p w:rsidR="00C17E10" w:rsidRDefault="00C17E10" w:rsidP="00C17E10">
      <w:pPr>
        <w:suppressAutoHyphens/>
        <w:ind w:hanging="284"/>
        <w:jc w:val="both"/>
      </w:pPr>
    </w:p>
    <w:p w:rsidR="00C17E10" w:rsidRDefault="00C17E10" w:rsidP="00C17E10">
      <w:pPr>
        <w:suppressAutoHyphens/>
        <w:ind w:firstLine="284"/>
        <w:jc w:val="both"/>
      </w:pPr>
      <w:r>
        <w:t>4. Направлять в Государственную информационную систему о государственных и муниципальных платежах информацию, необходимую для уплаты денежных средств физическими и юридическими лицами за государственные услуги и иных платежей, являющихся источниками формирования доходов бюджетной системы Российской Федерации.</w:t>
      </w:r>
    </w:p>
    <w:p w:rsidR="00C17E10" w:rsidRDefault="00C17E10" w:rsidP="00C17E10">
      <w:pPr>
        <w:suppressAutoHyphens/>
        <w:ind w:firstLine="284"/>
        <w:jc w:val="both"/>
      </w:pPr>
    </w:p>
    <w:p w:rsidR="00C17E10" w:rsidRDefault="00C17E10" w:rsidP="00C17E10">
      <w:pPr>
        <w:suppressAutoHyphens/>
        <w:ind w:firstLine="284"/>
        <w:jc w:val="both"/>
      </w:pPr>
      <w:r>
        <w:t>5. Разработать при необходимости:</w:t>
      </w:r>
    </w:p>
    <w:p w:rsidR="00C17E10" w:rsidRDefault="00C17E10" w:rsidP="00C17E10">
      <w:pPr>
        <w:suppressAutoHyphens/>
        <w:ind w:firstLine="284"/>
        <w:jc w:val="both"/>
      </w:pPr>
      <w:r>
        <w:t xml:space="preserve">- порядки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</w:t>
      </w:r>
      <w:r>
        <w:lastRenderedPageBreak/>
        <w:t>производителям товаров, работ, услуг либо изменения в действующие порядки.</w:t>
      </w:r>
    </w:p>
    <w:p w:rsidR="00C17E10" w:rsidRDefault="00C17E10" w:rsidP="00C17E10">
      <w:pPr>
        <w:suppressAutoHyphens/>
        <w:ind w:hanging="284"/>
        <w:jc w:val="both"/>
      </w:pPr>
    </w:p>
    <w:p w:rsidR="00C17E10" w:rsidRDefault="00C17E10" w:rsidP="00C17E10">
      <w:pPr>
        <w:suppressAutoHyphens/>
        <w:ind w:hanging="284"/>
        <w:jc w:val="both"/>
      </w:pPr>
      <w:r>
        <w:t xml:space="preserve">       </w:t>
      </w:r>
      <w:bookmarkEnd w:id="4"/>
      <w:r>
        <w:t>6. Обеспечить:</w:t>
      </w:r>
    </w:p>
    <w:p w:rsidR="00C17E10" w:rsidRDefault="00C17E10" w:rsidP="00C17E10">
      <w:pPr>
        <w:suppressAutoHyphens/>
        <w:jc w:val="both"/>
      </w:pPr>
      <w:r>
        <w:t xml:space="preserve">    - в первоочередном порядке выплату заработной платы (перечисление платежей в государственные внебюджетные фонды), оплату коммунальных услуг, исполнение публичных нормативных обязательств, уплату налогов, финансирование принятых и неисполненных обязательств 2019 года в пределах доведенных лимитов бюджетных обязательств; </w:t>
      </w:r>
    </w:p>
    <w:p w:rsidR="00C17E10" w:rsidRDefault="00C17E10" w:rsidP="00C17E10">
      <w:pPr>
        <w:pStyle w:val="ConsPlusNormal"/>
        <w:suppressAutoHyphens/>
        <w:jc w:val="both"/>
      </w:pPr>
      <w:bookmarkStart w:id="5" w:name="sub_62"/>
      <w:r>
        <w:t xml:space="preserve">     </w:t>
      </w:r>
      <w:bookmarkEnd w:id="5"/>
      <w:r>
        <w:t>- отсутствие на 1 января 2021 года дебиторской и кредиторской задолженности;</w:t>
      </w:r>
    </w:p>
    <w:p w:rsidR="00C17E10" w:rsidRDefault="00C17E10" w:rsidP="00C17E10">
      <w:pPr>
        <w:suppressAutoHyphens/>
        <w:jc w:val="both"/>
      </w:pPr>
      <w:r>
        <w:t xml:space="preserve">     - выполнение условий соглашений о передаче отдельных полномочий по решению вопросов местного значения муниципальному району;</w:t>
      </w:r>
    </w:p>
    <w:p w:rsidR="00C17E10" w:rsidRDefault="00C17E10" w:rsidP="00C17E10">
      <w:pPr>
        <w:suppressAutoHyphens/>
        <w:jc w:val="both"/>
      </w:pPr>
      <w:r>
        <w:t xml:space="preserve">      - выполнение условий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бюджета;</w:t>
      </w:r>
    </w:p>
    <w:p w:rsidR="00C17E10" w:rsidRDefault="00C17E10" w:rsidP="00C17E10">
      <w:pPr>
        <w:suppressAutoHyphens/>
        <w:jc w:val="both"/>
      </w:pPr>
      <w:r>
        <w:t xml:space="preserve">      - соблюдение запрета на 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самоуправления;</w:t>
      </w:r>
    </w:p>
    <w:p w:rsidR="00C17E10" w:rsidRDefault="00C17E10" w:rsidP="00C17E10">
      <w:pPr>
        <w:suppressAutoHyphens/>
        <w:jc w:val="both"/>
      </w:pPr>
      <w:r>
        <w:t xml:space="preserve">      - выполнение условий предоставления межбюджетных трансфертов из районного бюджета, установленных нормативными правовыми актами муниципального образования </w:t>
      </w:r>
      <w:proofErr w:type="spellStart"/>
      <w:r>
        <w:t>Сакмарский</w:t>
      </w:r>
      <w:proofErr w:type="spellEnd"/>
      <w:r>
        <w:t xml:space="preserve"> район.</w:t>
      </w:r>
    </w:p>
    <w:p w:rsidR="00C17E10" w:rsidRDefault="00C17E10" w:rsidP="00C17E10">
      <w:pPr>
        <w:suppressAutoHyphens/>
        <w:ind w:hanging="284"/>
        <w:jc w:val="both"/>
      </w:pPr>
    </w:p>
    <w:p w:rsidR="00C17E10" w:rsidRDefault="00C17E10" w:rsidP="00C17E10">
      <w:pPr>
        <w:suppressAutoHyphens/>
        <w:ind w:firstLine="284"/>
        <w:jc w:val="both"/>
      </w:pPr>
      <w:bookmarkStart w:id="6" w:name="sub_73"/>
      <w:r>
        <w:t>7. Не допускать:</w:t>
      </w:r>
    </w:p>
    <w:p w:rsidR="00C17E10" w:rsidRDefault="00C17E10" w:rsidP="00C17E10">
      <w:pPr>
        <w:suppressAutoHyphens/>
        <w:ind w:firstLine="284"/>
        <w:jc w:val="both"/>
      </w:pPr>
      <w:r>
        <w:t>- установления сверхнизких ставок по земельному налогу;</w:t>
      </w:r>
    </w:p>
    <w:p w:rsidR="00C17E10" w:rsidRDefault="00C17E10" w:rsidP="00C17E10">
      <w:pPr>
        <w:suppressAutoHyphens/>
        <w:ind w:firstLine="284"/>
        <w:jc w:val="both"/>
      </w:pPr>
      <w:r>
        <w:t>- принятия экономически не обоснованных льгот по местным налогам;</w:t>
      </w:r>
    </w:p>
    <w:p w:rsidR="00C17E10" w:rsidRDefault="00C17E10" w:rsidP="00C17E10">
      <w:pPr>
        <w:suppressAutoHyphens/>
        <w:ind w:firstLine="284"/>
        <w:jc w:val="both"/>
      </w:pPr>
      <w:r>
        <w:t>-превышения установленных нормативов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служащих.</w:t>
      </w:r>
    </w:p>
    <w:p w:rsidR="00C17E10" w:rsidRDefault="00C17E10" w:rsidP="00C17E10">
      <w:pPr>
        <w:suppressAutoHyphens/>
        <w:ind w:firstLine="284"/>
        <w:jc w:val="both"/>
      </w:pPr>
      <w:r>
        <w:t>8. Повысить эффективность работы межведомственных территориальных комиссий по повышению собираемости налоговых и неналоговых доходов в части сокращения и ликвидации задолженности, в том числе по начисленным пеням и штрафам, легализации доходов, получаемых субъектами малого и среднего предпринимательства.</w:t>
      </w:r>
    </w:p>
    <w:p w:rsidR="00C17E10" w:rsidRDefault="00C17E10" w:rsidP="00C17E10">
      <w:pPr>
        <w:suppressAutoHyphens/>
        <w:ind w:firstLine="284"/>
        <w:jc w:val="both"/>
      </w:pPr>
    </w:p>
    <w:p w:rsidR="00C17E10" w:rsidRDefault="00C17E10" w:rsidP="00C17E10">
      <w:pPr>
        <w:suppressAutoHyphens/>
        <w:ind w:firstLine="284"/>
        <w:jc w:val="both"/>
      </w:pPr>
      <w:r>
        <w:t>9. Провести мероприятия по выявлению собственников земельных участков и другого недвижимого имущества с целью привлечения их к налогообложению, оказывать содействие в оформлении прав собственности на земельные участки и имущество физическими лицами.</w:t>
      </w:r>
    </w:p>
    <w:p w:rsidR="00C17E10" w:rsidRDefault="00C17E10" w:rsidP="00C17E10">
      <w:pPr>
        <w:suppressAutoHyphens/>
        <w:ind w:firstLine="284"/>
        <w:jc w:val="both"/>
      </w:pPr>
    </w:p>
    <w:p w:rsidR="00C17E10" w:rsidRDefault="00C17E10" w:rsidP="00C17E10">
      <w:pPr>
        <w:suppressAutoHyphens/>
        <w:ind w:firstLine="284"/>
        <w:jc w:val="both"/>
      </w:pPr>
      <w:r>
        <w:t>10. Выявлять используемые не по целевому назначению (неиспользуемые) земли сельскохозяйственного назначения для применения к ним повышенной ставки налога.</w:t>
      </w:r>
    </w:p>
    <w:p w:rsidR="00C17E10" w:rsidRDefault="00C17E10" w:rsidP="00C17E10">
      <w:pPr>
        <w:suppressAutoHyphens/>
        <w:ind w:hanging="284"/>
        <w:jc w:val="both"/>
      </w:pPr>
    </w:p>
    <w:p w:rsidR="00C17E10" w:rsidRDefault="00C17E10" w:rsidP="00C17E10">
      <w:pPr>
        <w:suppressAutoHyphens/>
        <w:ind w:firstLine="284"/>
        <w:jc w:val="both"/>
      </w:pPr>
      <w:r>
        <w:t xml:space="preserve">11. Обеспечить: </w:t>
      </w:r>
    </w:p>
    <w:p w:rsidR="00C17E10" w:rsidRDefault="00C17E10" w:rsidP="00C17E10">
      <w:pPr>
        <w:suppressAutoHyphens/>
        <w:ind w:hanging="284"/>
        <w:jc w:val="both"/>
      </w:pPr>
      <w:r>
        <w:t xml:space="preserve">         </w:t>
      </w:r>
      <w:bookmarkEnd w:id="6"/>
      <w:r>
        <w:t>- проведение анализа дебиторской и кредиторской задолженности, сложившейся по состоянию на 1 апреля, 1 июля, 1 октября 2020 года и 1 января 2021 года и принятие мер, направленных на недопущение дебиторской и кредиторской задолженности в 2020 году;</w:t>
      </w:r>
    </w:p>
    <w:p w:rsidR="00C17E10" w:rsidRDefault="00C17E10" w:rsidP="00C17E10">
      <w:pPr>
        <w:suppressAutoHyphens/>
        <w:ind w:firstLine="426"/>
        <w:jc w:val="both"/>
      </w:pPr>
      <w:r>
        <w:t>- эффективное использование целевых межбюджетных трансфертов, переданных из районного бюджета в местный бюджет;</w:t>
      </w:r>
    </w:p>
    <w:p w:rsidR="00C17E10" w:rsidRDefault="00C17E10" w:rsidP="00C17E10">
      <w:pPr>
        <w:suppressAutoHyphens/>
        <w:ind w:firstLine="426"/>
        <w:jc w:val="both"/>
      </w:pPr>
      <w:r>
        <w:t>- формирование бюджетных ассигнований на финансовое обеспечение реализации муниципальных программ на уровне не ниже 95 процентов от общего объема расходов местного бюджета на 2020 год;</w:t>
      </w:r>
    </w:p>
    <w:p w:rsidR="00C17E10" w:rsidRDefault="00C17E10" w:rsidP="00C17E10">
      <w:pPr>
        <w:suppressAutoHyphens/>
        <w:ind w:firstLine="426"/>
        <w:jc w:val="both"/>
      </w:pPr>
      <w:r>
        <w:t>- проведение анализа качества и полноты сведений об объектах недвижимости, расположенных на территории муниципального образования, для принятия административных решений по их вовлечению в налоговый оборот.</w:t>
      </w:r>
    </w:p>
    <w:p w:rsidR="00C17E10" w:rsidRDefault="00C17E10" w:rsidP="00C17E10">
      <w:pPr>
        <w:suppressAutoHyphens/>
        <w:ind w:firstLine="426"/>
        <w:jc w:val="both"/>
      </w:pPr>
      <w:r>
        <w:t xml:space="preserve"> </w:t>
      </w:r>
    </w:p>
    <w:p w:rsidR="00C17E10" w:rsidRDefault="00C17E10" w:rsidP="00C17E10">
      <w:pPr>
        <w:widowControl w:val="0"/>
        <w:suppressAutoHyphens/>
        <w:overflowPunct/>
        <w:jc w:val="both"/>
      </w:pPr>
      <w:r>
        <w:t xml:space="preserve">   12.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администрации.</w:t>
      </w:r>
    </w:p>
    <w:p w:rsidR="00C17E10" w:rsidRDefault="00C17E10" w:rsidP="00C17E10">
      <w:pPr>
        <w:widowControl w:val="0"/>
        <w:suppressAutoHyphens/>
        <w:overflowPunct/>
        <w:jc w:val="both"/>
      </w:pPr>
    </w:p>
    <w:p w:rsidR="00C17E10" w:rsidRDefault="00C17E10" w:rsidP="00C17E10">
      <w:pPr>
        <w:widowControl w:val="0"/>
        <w:suppressAutoHyphens/>
        <w:overflowPunct/>
        <w:jc w:val="both"/>
      </w:pPr>
      <w:r>
        <w:t xml:space="preserve">   13. Постановление вступает в силу со дня его подписания и распространяет свое действие на правоотношения, возникшие с 01 января 2020 года.</w:t>
      </w:r>
    </w:p>
    <w:p w:rsidR="00C17E10" w:rsidRDefault="00C17E10" w:rsidP="00C17E10">
      <w:pPr>
        <w:widowControl w:val="0"/>
        <w:suppressAutoHyphens/>
        <w:overflowPunct/>
        <w:jc w:val="both"/>
      </w:pPr>
    </w:p>
    <w:p w:rsidR="00C17E10" w:rsidRDefault="00C17E10" w:rsidP="00C17E10">
      <w:pPr>
        <w:widowControl w:val="0"/>
        <w:overflowPunct/>
        <w:jc w:val="both"/>
      </w:pPr>
    </w:p>
    <w:p w:rsidR="00C17E10" w:rsidRDefault="00C17E10" w:rsidP="00C17E10">
      <w:pPr>
        <w:widowControl w:val="0"/>
        <w:overflowPunct/>
        <w:jc w:val="both"/>
      </w:pPr>
    </w:p>
    <w:p w:rsidR="00C17E10" w:rsidRDefault="00C17E10" w:rsidP="00C17E10">
      <w:pPr>
        <w:widowControl w:val="0"/>
        <w:overflowPunct/>
        <w:jc w:val="both"/>
      </w:pPr>
    </w:p>
    <w:p w:rsidR="00C17E10" w:rsidRDefault="00C17E10" w:rsidP="00C17E10">
      <w:pPr>
        <w:widowControl w:val="0"/>
        <w:overflowPunct/>
        <w:jc w:val="both"/>
      </w:pPr>
    </w:p>
    <w:p w:rsidR="00C17E10" w:rsidRDefault="00C17E10" w:rsidP="00C17E10">
      <w:pPr>
        <w:widowControl w:val="0"/>
        <w:overflowPunct/>
        <w:jc w:val="both"/>
      </w:pPr>
      <w:r>
        <w:t xml:space="preserve">Глава администрации                                                В.В. </w:t>
      </w:r>
      <w:proofErr w:type="spellStart"/>
      <w:r>
        <w:t>Потапенко</w:t>
      </w:r>
      <w:proofErr w:type="spellEnd"/>
    </w:p>
    <w:p w:rsidR="00C17E10" w:rsidRDefault="00C17E10" w:rsidP="00C17E10"/>
    <w:p w:rsidR="00B973F8" w:rsidRDefault="00B973F8"/>
    <w:sectPr w:rsidR="00B973F8" w:rsidSect="00363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5354"/>
    <w:multiLevelType w:val="hybridMultilevel"/>
    <w:tmpl w:val="D3585060"/>
    <w:lvl w:ilvl="0" w:tplc="115EAD9C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10"/>
    <w:rsid w:val="00B973F8"/>
    <w:rsid w:val="00C1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E1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E10"/>
    <w:pPr>
      <w:keepNext/>
      <w:ind w:right="-143" w:hanging="709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E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17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2020-03-30T05:26:00Z</dcterms:created>
  <dcterms:modified xsi:type="dcterms:W3CDTF">2020-03-30T05:27:00Z</dcterms:modified>
</cp:coreProperties>
</file>