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DE4" w:rsidRDefault="00182DE4" w:rsidP="00182DE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</w:t>
      </w:r>
      <w:proofErr w:type="gramStart"/>
      <w:r>
        <w:rPr>
          <w:b/>
          <w:bCs/>
          <w:sz w:val="24"/>
          <w:szCs w:val="24"/>
        </w:rPr>
        <w:t>1</w:t>
      </w:r>
      <w:proofErr w:type="gramEnd"/>
    </w:p>
    <w:p w:rsidR="00182DE4" w:rsidRDefault="00182DE4" w:rsidP="00182DE4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к постановлению  администрации  </w:t>
      </w:r>
    </w:p>
    <w:p w:rsidR="00182DE4" w:rsidRDefault="00182DE4" w:rsidP="00182DE4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муниципального образования </w:t>
      </w:r>
      <w:proofErr w:type="spellStart"/>
      <w:r>
        <w:rPr>
          <w:bCs/>
          <w:sz w:val="24"/>
          <w:szCs w:val="24"/>
        </w:rPr>
        <w:t>Сакмарский</w:t>
      </w:r>
      <w:proofErr w:type="spellEnd"/>
      <w:r>
        <w:rPr>
          <w:bCs/>
          <w:sz w:val="24"/>
          <w:szCs w:val="24"/>
        </w:rPr>
        <w:t xml:space="preserve"> сельсовет </w:t>
      </w:r>
    </w:p>
    <w:p w:rsidR="00182DE4" w:rsidRDefault="00182DE4" w:rsidP="00182DE4">
      <w:pPr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Сакмарского</w:t>
      </w:r>
      <w:proofErr w:type="spellEnd"/>
      <w:r>
        <w:rPr>
          <w:bCs/>
          <w:sz w:val="24"/>
          <w:szCs w:val="24"/>
        </w:rPr>
        <w:t xml:space="preserve"> района Оренбургской области</w:t>
      </w:r>
    </w:p>
    <w:p w:rsidR="00182DE4" w:rsidRDefault="00182DE4" w:rsidP="00182DE4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>от «07» сентября 2020г №117-п</w:t>
      </w:r>
    </w:p>
    <w:p w:rsidR="00182DE4" w:rsidRDefault="00182DE4" w:rsidP="00182DE4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:rsidR="00182DE4" w:rsidRDefault="00182DE4" w:rsidP="00182DE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Муниципальная целевая программа</w:t>
      </w:r>
    </w:p>
    <w:p w:rsidR="00182DE4" w:rsidRDefault="00182DE4" w:rsidP="00182DE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"Комплексное развитие систем коммунальной инфраструктуры</w:t>
      </w:r>
    </w:p>
    <w:p w:rsidR="00182DE4" w:rsidRDefault="00182DE4" w:rsidP="00182DE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муниципального образования </w:t>
      </w:r>
      <w:proofErr w:type="spellStart"/>
      <w:r>
        <w:rPr>
          <w:b/>
          <w:bCs/>
          <w:sz w:val="24"/>
          <w:szCs w:val="24"/>
        </w:rPr>
        <w:t>Сакмарский</w:t>
      </w:r>
      <w:proofErr w:type="spellEnd"/>
      <w:r>
        <w:rPr>
          <w:b/>
          <w:bCs/>
          <w:sz w:val="24"/>
          <w:szCs w:val="24"/>
        </w:rPr>
        <w:t xml:space="preserve"> сельсовет </w:t>
      </w:r>
      <w:proofErr w:type="spellStart"/>
      <w:r>
        <w:rPr>
          <w:b/>
          <w:bCs/>
          <w:sz w:val="24"/>
          <w:szCs w:val="24"/>
        </w:rPr>
        <w:t>Сакмарского</w:t>
      </w:r>
      <w:proofErr w:type="spellEnd"/>
      <w:r>
        <w:rPr>
          <w:b/>
          <w:bCs/>
          <w:sz w:val="24"/>
          <w:szCs w:val="24"/>
        </w:rPr>
        <w:t xml:space="preserve"> района Оренбургской области на 2019 - 2024 годы"</w:t>
      </w:r>
    </w:p>
    <w:p w:rsidR="00182DE4" w:rsidRDefault="00182DE4" w:rsidP="00182DE4">
      <w:pPr>
        <w:tabs>
          <w:tab w:val="left" w:pos="4470"/>
        </w:tabs>
        <w:rPr>
          <w:sz w:val="24"/>
          <w:szCs w:val="24"/>
        </w:rPr>
      </w:pPr>
    </w:p>
    <w:p w:rsidR="00182DE4" w:rsidRDefault="00182DE4" w:rsidP="00182DE4">
      <w:pPr>
        <w:rPr>
          <w:sz w:val="24"/>
          <w:szCs w:val="24"/>
        </w:rPr>
      </w:pPr>
    </w:p>
    <w:p w:rsidR="00182DE4" w:rsidRDefault="00182DE4" w:rsidP="00182DE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ПАСПОРТ ПРОГРАММЫ</w:t>
      </w:r>
    </w:p>
    <w:p w:rsidR="00182DE4" w:rsidRDefault="00182DE4" w:rsidP="00182DE4">
      <w:pPr>
        <w:jc w:val="center"/>
        <w:rPr>
          <w:b/>
          <w:bCs/>
          <w:sz w:val="24"/>
          <w:szCs w:val="24"/>
        </w:rPr>
      </w:pPr>
    </w:p>
    <w:tbl>
      <w:tblPr>
        <w:tblW w:w="10409" w:type="dxa"/>
        <w:tblLook w:val="01E0"/>
      </w:tblPr>
      <w:tblGrid>
        <w:gridCol w:w="4361"/>
        <w:gridCol w:w="6048"/>
      </w:tblGrid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Полное наименование программы</w:t>
            </w:r>
          </w:p>
        </w:tc>
        <w:tc>
          <w:tcPr>
            <w:tcW w:w="6048" w:type="dxa"/>
            <w:hideMark/>
          </w:tcPr>
          <w:p w:rsidR="00182DE4" w:rsidRDefault="00182DE4">
            <w:pPr>
              <w:ind w:right="29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Муниципальная целевая программа «Комплексное развитие систем коммунальной инфраструктуры муниципального образования </w:t>
            </w:r>
            <w:proofErr w:type="spellStart"/>
            <w:r>
              <w:rPr>
                <w:color w:val="000000"/>
                <w:spacing w:val="-1"/>
                <w:sz w:val="24"/>
                <w:szCs w:val="24"/>
              </w:rPr>
              <w:t>Сакмарский</w:t>
            </w:r>
            <w:proofErr w:type="spellEnd"/>
            <w:r>
              <w:rPr>
                <w:color w:val="000000"/>
                <w:spacing w:val="-1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color w:val="000000"/>
                <w:spacing w:val="-1"/>
                <w:sz w:val="24"/>
                <w:szCs w:val="24"/>
              </w:rPr>
              <w:t>Сакмарского</w:t>
            </w:r>
            <w:proofErr w:type="spellEnd"/>
            <w:r>
              <w:rPr>
                <w:color w:val="000000"/>
                <w:spacing w:val="-1"/>
                <w:sz w:val="24"/>
                <w:szCs w:val="24"/>
              </w:rPr>
              <w:t xml:space="preserve"> района Оренбургской </w:t>
            </w:r>
            <w:r>
              <w:rPr>
                <w:spacing w:val="-1"/>
                <w:sz w:val="24"/>
                <w:szCs w:val="24"/>
              </w:rPr>
              <w:t xml:space="preserve">области на 2019-2024 годы»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(далее - </w:t>
            </w:r>
            <w:r>
              <w:rPr>
                <w:color w:val="000000"/>
                <w:sz w:val="24"/>
                <w:szCs w:val="24"/>
              </w:rPr>
              <w:t>Программа).</w:t>
            </w: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ind w:right="29"/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48" w:type="dxa"/>
            <w:hideMark/>
          </w:tcPr>
          <w:p w:rsidR="00182DE4" w:rsidRDefault="00182DE4">
            <w:pPr>
              <w:shd w:val="clear" w:color="auto" w:fill="FFFFFF"/>
              <w:tabs>
                <w:tab w:val="left" w:pos="3504"/>
                <w:tab w:val="left" w:pos="526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30.12.2004 г. № 210-ФЗ « Об основах регулирования тарифов организаций коммунального комплекса» (в редакции Федерального закона от 18.07.2011 г. № 242-ФЗ);</w:t>
            </w:r>
          </w:p>
          <w:p w:rsidR="00182DE4" w:rsidRDefault="00182DE4">
            <w:pPr>
              <w:shd w:val="clear" w:color="auto" w:fill="FFFFFF"/>
              <w:tabs>
                <w:tab w:val="left" w:pos="3504"/>
                <w:tab w:val="left" w:pos="5263"/>
              </w:tabs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регионального развития Российской Федерации «О разработке программ комплексного развития систем коммунальной инфраструктуры муниципальных образований»  от 06.05.2011г. № 204.</w:t>
            </w: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ind w:right="2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6048" w:type="dxa"/>
            <w:hideMark/>
          </w:tcPr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</w:rPr>
              <w:t>Сакмарский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sz w:val="24"/>
                <w:szCs w:val="24"/>
              </w:rPr>
              <w:t>Сакмарского</w:t>
            </w:r>
            <w:proofErr w:type="spellEnd"/>
            <w:r>
              <w:rPr>
                <w:sz w:val="24"/>
                <w:szCs w:val="24"/>
              </w:rPr>
              <w:t xml:space="preserve"> района Оренбургской области</w:t>
            </w: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ind w:right="29"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6048" w:type="dxa"/>
            <w:hideMark/>
          </w:tcPr>
          <w:p w:rsidR="00182DE4" w:rsidRDefault="00182DE4">
            <w:pPr>
              <w:ind w:right="29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</w:rPr>
              <w:t>Сакмарский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sz w:val="24"/>
                <w:szCs w:val="24"/>
              </w:rPr>
              <w:t>Сакмарского</w:t>
            </w:r>
            <w:proofErr w:type="spellEnd"/>
            <w:r>
              <w:rPr>
                <w:sz w:val="24"/>
                <w:szCs w:val="24"/>
              </w:rPr>
              <w:t xml:space="preserve"> района Оренбургской области</w:t>
            </w: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ind w:right="2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6048" w:type="dxa"/>
          </w:tcPr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</w:rPr>
              <w:t>Сакмарский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sz w:val="24"/>
                <w:szCs w:val="24"/>
              </w:rPr>
              <w:t>Сакмарского</w:t>
            </w:r>
            <w:proofErr w:type="spellEnd"/>
            <w:r>
              <w:rPr>
                <w:sz w:val="24"/>
                <w:szCs w:val="24"/>
              </w:rPr>
              <w:t xml:space="preserve"> района Оренбургской области</w:t>
            </w:r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048" w:type="dxa"/>
            <w:hideMark/>
          </w:tcPr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Предприятия жилищно-коммунального хозяйства, осуществляющие свою деятельность на территории МО </w:t>
            </w:r>
            <w:proofErr w:type="spellStart"/>
            <w:r>
              <w:rPr>
                <w:sz w:val="24"/>
                <w:szCs w:val="24"/>
              </w:rPr>
              <w:t>Сакмарский</w:t>
            </w:r>
            <w:proofErr w:type="spellEnd"/>
            <w:r>
              <w:rPr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sz w:val="24"/>
                <w:szCs w:val="24"/>
              </w:rPr>
              <w:t>Сакмарского</w:t>
            </w:r>
            <w:proofErr w:type="spellEnd"/>
            <w:r>
              <w:rPr>
                <w:sz w:val="24"/>
                <w:szCs w:val="24"/>
              </w:rPr>
              <w:t xml:space="preserve"> района Оренбургской области</w:t>
            </w:r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</w:rPr>
              <w:t>Сакмарский</w:t>
            </w:r>
            <w:proofErr w:type="spellEnd"/>
            <w:r>
              <w:rPr>
                <w:sz w:val="24"/>
                <w:szCs w:val="24"/>
              </w:rPr>
              <w:t xml:space="preserve"> район Оренбургской области</w:t>
            </w: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ind w:right="2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Цели и задачи Программы</w:t>
            </w:r>
          </w:p>
        </w:tc>
        <w:tc>
          <w:tcPr>
            <w:tcW w:w="6048" w:type="dxa"/>
            <w:hideMark/>
          </w:tcPr>
          <w:p w:rsidR="00182DE4" w:rsidRDefault="00182DE4">
            <w:pPr>
              <w:shd w:val="clear" w:color="auto" w:fill="FFFFFF"/>
              <w:tabs>
                <w:tab w:val="left" w:pos="3300"/>
                <w:tab w:val="left" w:pos="5621"/>
              </w:tabs>
              <w:ind w:right="19"/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Целями Программы является:</w:t>
            </w:r>
          </w:p>
          <w:p w:rsidR="00182DE4" w:rsidRDefault="00182DE4">
            <w:pPr>
              <w:shd w:val="clear" w:color="auto" w:fill="FFFFFF"/>
              <w:tabs>
                <w:tab w:val="left" w:pos="3300"/>
                <w:tab w:val="left" w:pos="5621"/>
              </w:tabs>
              <w:ind w:right="19"/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-гарантированное покрытие перспективной потребности в энергоносителях и воде для обеспечения </w:t>
            </w:r>
            <w:r>
              <w:rPr>
                <w:color w:val="000000"/>
                <w:spacing w:val="1"/>
                <w:sz w:val="24"/>
                <w:szCs w:val="24"/>
              </w:rPr>
              <w:lastRenderedPageBreak/>
              <w:t xml:space="preserve">эффективного, качественного и надежного снабжения коммунальными ресурсами с минимальными издержками за весь цикл жизни систем коммунальной инфраструктуры; </w:t>
            </w:r>
          </w:p>
          <w:p w:rsidR="00182DE4" w:rsidRDefault="00182DE4">
            <w:pPr>
              <w:shd w:val="clear" w:color="auto" w:fill="FFFFFF"/>
              <w:tabs>
                <w:tab w:val="left" w:pos="3300"/>
                <w:tab w:val="left" w:pos="5621"/>
              </w:tabs>
              <w:ind w:right="19"/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-системное  решение проблем обеспечения устойчивого функционирования и развития коммунального комплекса на территории муниципального образования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Сакмарский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Сакмарского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района Оренбургской области;</w:t>
            </w:r>
          </w:p>
          <w:p w:rsidR="00182DE4" w:rsidRDefault="00182DE4">
            <w:pPr>
              <w:shd w:val="clear" w:color="auto" w:fill="FFFFFF"/>
              <w:tabs>
                <w:tab w:val="left" w:pos="3300"/>
                <w:tab w:val="left" w:pos="5621"/>
              </w:tabs>
              <w:ind w:right="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-обеспечение наиболее экономичным образом  качественного и надежного предоставления коммунальных услуг потребителям при минимальном  негативном воздействии на окружающую среду.</w:t>
            </w:r>
          </w:p>
          <w:p w:rsidR="00182DE4" w:rsidRDefault="00182DE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Задачами Программы являются:</w:t>
            </w:r>
          </w:p>
          <w:p w:rsidR="00182DE4" w:rsidRDefault="00182DE4" w:rsidP="007F5CC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85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повышение </w:t>
            </w:r>
            <w:proofErr w:type="spellStart"/>
            <w:r>
              <w:rPr>
                <w:color w:val="000000"/>
                <w:spacing w:val="-1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pacing w:val="-1"/>
                <w:sz w:val="24"/>
                <w:szCs w:val="24"/>
              </w:rPr>
              <w:t xml:space="preserve"> и энергосбережения</w:t>
            </w:r>
            <w:r>
              <w:rPr>
                <w:color w:val="000000"/>
                <w:spacing w:val="1"/>
                <w:sz w:val="24"/>
                <w:szCs w:val="24"/>
              </w:rPr>
              <w:t>;</w:t>
            </w:r>
          </w:p>
          <w:p w:rsidR="00182DE4" w:rsidRDefault="00182DE4" w:rsidP="007F5CC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85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создание условий для развития жилищного сектора и осуществления комплексного освоения земельных участков под жилищное строительство</w:t>
            </w:r>
            <w:r>
              <w:rPr>
                <w:color w:val="000000"/>
                <w:spacing w:val="3"/>
                <w:sz w:val="24"/>
                <w:szCs w:val="24"/>
              </w:rPr>
              <w:t>;</w:t>
            </w:r>
          </w:p>
          <w:p w:rsidR="00182DE4" w:rsidRDefault="00182DE4" w:rsidP="007F5CC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85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повышение качества  и надежности предоставления коммунальных услуг населению, возможность  обеспечения наращивания и модернизации коммунальной инфраструктуры в местах существующей застройки для обеспечения целевых параметров улучшения их состояния и увеличения объемов жилищного строительства</w:t>
            </w:r>
            <w:r>
              <w:rPr>
                <w:color w:val="000000"/>
                <w:spacing w:val="1"/>
                <w:sz w:val="24"/>
                <w:szCs w:val="24"/>
              </w:rPr>
              <w:t>;</w:t>
            </w:r>
          </w:p>
          <w:p w:rsidR="00182DE4" w:rsidRDefault="00182DE4">
            <w:pPr>
              <w:ind w:right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- повышение уровня обеспеченности объектами коммунальной инфраструктуры сельского населения муниципального образования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Сакмарский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Сакмарского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района Оренбургской области</w:t>
            </w:r>
            <w:r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shd w:val="clear" w:color="auto" w:fill="FFFFFF"/>
              <w:tabs>
                <w:tab w:val="left" w:pos="3300"/>
                <w:tab w:val="left" w:pos="5621"/>
              </w:tabs>
              <w:ind w:right="19"/>
              <w:jc w:val="both"/>
              <w:rPr>
                <w:color w:val="000000"/>
                <w:spacing w:val="1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048" w:type="dxa"/>
            <w:hideMark/>
          </w:tcPr>
          <w:p w:rsidR="00182DE4" w:rsidRDefault="00182DE4">
            <w:pPr>
              <w:shd w:val="clear" w:color="auto" w:fill="FFFFFF"/>
              <w:tabs>
                <w:tab w:val="left" w:pos="3300"/>
                <w:tab w:val="left" w:pos="5621"/>
              </w:tabs>
              <w:ind w:right="19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2019 – 2024 годы</w:t>
            </w: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ind w:right="2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Важнейшие целевые </w:t>
            </w:r>
          </w:p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показатели Программы</w:t>
            </w:r>
          </w:p>
        </w:tc>
        <w:tc>
          <w:tcPr>
            <w:tcW w:w="6048" w:type="dxa"/>
          </w:tcPr>
          <w:p w:rsidR="00182DE4" w:rsidRDefault="00182DE4">
            <w:pPr>
              <w:ind w:right="29"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>-Функционирование систем  и объектов коммунальной инфраструктуры в соответствии с потребностями жилищного и промышленного строительства;</w:t>
            </w:r>
          </w:p>
          <w:p w:rsidR="00182DE4" w:rsidRDefault="00182DE4">
            <w:pPr>
              <w:ind w:right="29"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>-Повышение качества услуг для потребителей;</w:t>
            </w:r>
          </w:p>
          <w:p w:rsidR="00182DE4" w:rsidRDefault="00182DE4">
            <w:pPr>
              <w:ind w:right="29"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-Улучшение экологической ситуации на территории муниципального образования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Сакмарский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Сакмарского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района Оренбургской области</w:t>
            </w:r>
            <w:r>
              <w:rPr>
                <w:color w:val="000000"/>
                <w:spacing w:val="4"/>
                <w:sz w:val="24"/>
                <w:szCs w:val="24"/>
              </w:rPr>
              <w:t>.</w:t>
            </w:r>
          </w:p>
          <w:p w:rsidR="00182DE4" w:rsidRDefault="00182DE4">
            <w:pPr>
              <w:ind w:right="29"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>-Техническая и экономическая доступность коммунальных услуг.</w:t>
            </w:r>
          </w:p>
          <w:p w:rsidR="00182DE4" w:rsidRDefault="00182DE4">
            <w:pPr>
              <w:ind w:right="29"/>
              <w:jc w:val="both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ind w:right="29"/>
              <w:jc w:val="both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Объемы требуемых капитальных вложений и источники</w:t>
            </w:r>
          </w:p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финансирования Программы</w:t>
            </w:r>
          </w:p>
        </w:tc>
        <w:tc>
          <w:tcPr>
            <w:tcW w:w="6048" w:type="dxa"/>
          </w:tcPr>
          <w:p w:rsidR="00182DE4" w:rsidRDefault="00182DE4">
            <w:pPr>
              <w:ind w:right="29"/>
              <w:jc w:val="both"/>
              <w:rPr>
                <w:b/>
                <w:spacing w:val="1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Общий объем финансирования Программы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составит </w:t>
            </w:r>
            <w:r>
              <w:rPr>
                <w:b/>
                <w:bCs/>
                <w:spacing w:val="1"/>
                <w:sz w:val="24"/>
                <w:szCs w:val="24"/>
              </w:rPr>
              <w:t>16846,21</w:t>
            </w:r>
            <w:r>
              <w:rPr>
                <w:spacing w:val="1"/>
                <w:sz w:val="24"/>
                <w:szCs w:val="24"/>
              </w:rPr>
              <w:t xml:space="preserve"> тыс. рублей, в том числе: средства </w:t>
            </w:r>
            <w:r>
              <w:rPr>
                <w:spacing w:val="2"/>
                <w:sz w:val="24"/>
                <w:szCs w:val="24"/>
              </w:rPr>
              <w:t xml:space="preserve">областного бюджета – </w:t>
            </w:r>
            <w:r>
              <w:rPr>
                <w:b/>
                <w:spacing w:val="2"/>
                <w:sz w:val="24"/>
                <w:szCs w:val="24"/>
              </w:rPr>
              <w:t>15687,00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тыс. рублей; средства местного бюджета –   </w:t>
            </w:r>
            <w:r>
              <w:rPr>
                <w:b/>
                <w:spacing w:val="1"/>
                <w:sz w:val="24"/>
                <w:szCs w:val="24"/>
              </w:rPr>
              <w:t xml:space="preserve">1159,21 </w:t>
            </w:r>
            <w:r>
              <w:rPr>
                <w:sz w:val="24"/>
                <w:szCs w:val="24"/>
              </w:rPr>
              <w:t>тыс. рублей; в том числе по годам:</w:t>
            </w:r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-2019 год- </w:t>
            </w:r>
            <w:r>
              <w:rPr>
                <w:b/>
                <w:bCs/>
                <w:spacing w:val="1"/>
                <w:sz w:val="24"/>
                <w:szCs w:val="24"/>
              </w:rPr>
              <w:t>5579,21</w:t>
            </w:r>
            <w:r>
              <w:rPr>
                <w:spacing w:val="1"/>
                <w:sz w:val="24"/>
                <w:szCs w:val="24"/>
              </w:rPr>
              <w:t xml:space="preserve"> тыс. рублей, в том числе: средства </w:t>
            </w:r>
            <w:r>
              <w:rPr>
                <w:spacing w:val="2"/>
                <w:sz w:val="24"/>
                <w:szCs w:val="24"/>
              </w:rPr>
              <w:t xml:space="preserve">областного бюджета – </w:t>
            </w:r>
            <w:r>
              <w:rPr>
                <w:b/>
                <w:bCs/>
                <w:spacing w:val="2"/>
                <w:sz w:val="24"/>
                <w:szCs w:val="24"/>
              </w:rPr>
              <w:t>4750,00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тыс. рублей; средства местного бюджета –   </w:t>
            </w:r>
            <w:r>
              <w:rPr>
                <w:b/>
                <w:spacing w:val="1"/>
                <w:sz w:val="24"/>
                <w:szCs w:val="24"/>
              </w:rPr>
              <w:t xml:space="preserve">829,21 </w:t>
            </w:r>
            <w:r>
              <w:rPr>
                <w:sz w:val="24"/>
                <w:szCs w:val="24"/>
              </w:rPr>
              <w:t>тыс. рублей;</w:t>
            </w:r>
            <w:proofErr w:type="gramEnd"/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-2020 год- </w:t>
            </w:r>
            <w:r>
              <w:rPr>
                <w:b/>
                <w:sz w:val="24"/>
                <w:szCs w:val="24"/>
              </w:rPr>
              <w:t>0,000</w:t>
            </w:r>
            <w:r>
              <w:rPr>
                <w:b/>
                <w:bCs/>
                <w:color w:val="FF0000"/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тыс. рублей, в том числе: средства </w:t>
            </w:r>
            <w:r>
              <w:rPr>
                <w:spacing w:val="2"/>
                <w:sz w:val="24"/>
                <w:szCs w:val="24"/>
              </w:rPr>
              <w:t xml:space="preserve">областного бюджета – </w:t>
            </w:r>
            <w:r>
              <w:rPr>
                <w:b/>
                <w:bCs/>
                <w:spacing w:val="2"/>
                <w:sz w:val="24"/>
                <w:szCs w:val="24"/>
              </w:rPr>
              <w:t>0,000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тыс. рублей; средства местного бюджета –   </w:t>
            </w:r>
            <w:r>
              <w:rPr>
                <w:b/>
                <w:spacing w:val="1"/>
                <w:sz w:val="24"/>
                <w:szCs w:val="24"/>
              </w:rPr>
              <w:t xml:space="preserve">0,000 </w:t>
            </w:r>
            <w:r>
              <w:rPr>
                <w:sz w:val="24"/>
                <w:szCs w:val="24"/>
              </w:rPr>
              <w:t>тыс. рублей;</w:t>
            </w:r>
            <w:proofErr w:type="gramEnd"/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-2021 год- </w:t>
            </w:r>
            <w:r>
              <w:rPr>
                <w:b/>
                <w:sz w:val="24"/>
                <w:szCs w:val="24"/>
              </w:rPr>
              <w:t>6984</w:t>
            </w:r>
            <w:r>
              <w:rPr>
                <w:b/>
                <w:bCs/>
                <w:spacing w:val="1"/>
                <w:sz w:val="24"/>
                <w:szCs w:val="24"/>
              </w:rPr>
              <w:t>,672</w:t>
            </w:r>
            <w:r>
              <w:rPr>
                <w:spacing w:val="1"/>
                <w:sz w:val="24"/>
                <w:szCs w:val="24"/>
              </w:rPr>
              <w:t xml:space="preserve"> тыс. рублей, в том числе: средства </w:t>
            </w:r>
            <w:r>
              <w:rPr>
                <w:spacing w:val="2"/>
                <w:sz w:val="24"/>
                <w:szCs w:val="24"/>
              </w:rPr>
              <w:t xml:space="preserve">областного бюджета – </w:t>
            </w:r>
            <w:r>
              <w:rPr>
                <w:b/>
                <w:spacing w:val="2"/>
                <w:sz w:val="24"/>
                <w:szCs w:val="24"/>
              </w:rPr>
              <w:t>6775,137</w:t>
            </w:r>
            <w:r>
              <w:rPr>
                <w:color w:val="FF0000"/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тыс. рублей;</w:t>
            </w:r>
            <w:r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средства местного бюджета – </w:t>
            </w:r>
            <w:r>
              <w:rPr>
                <w:color w:val="FF0000"/>
                <w:spacing w:val="1"/>
                <w:sz w:val="24"/>
                <w:szCs w:val="24"/>
              </w:rPr>
              <w:t xml:space="preserve">  </w:t>
            </w:r>
            <w:r>
              <w:rPr>
                <w:b/>
                <w:spacing w:val="1"/>
                <w:sz w:val="24"/>
                <w:szCs w:val="24"/>
              </w:rPr>
              <w:t xml:space="preserve">209,535 </w:t>
            </w:r>
            <w:r>
              <w:rPr>
                <w:sz w:val="24"/>
                <w:szCs w:val="24"/>
              </w:rPr>
              <w:t>тыс. рублей;</w:t>
            </w:r>
            <w:proofErr w:type="gramEnd"/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-2022 год – </w:t>
            </w:r>
            <w:r>
              <w:rPr>
                <w:b/>
                <w:sz w:val="24"/>
                <w:szCs w:val="24"/>
              </w:rPr>
              <w:t>3090,000</w:t>
            </w:r>
            <w:r>
              <w:rPr>
                <w:spacing w:val="1"/>
                <w:sz w:val="24"/>
                <w:szCs w:val="24"/>
              </w:rPr>
              <w:t xml:space="preserve"> тыс. рублей, в том числе: средства </w:t>
            </w:r>
            <w:r>
              <w:rPr>
                <w:spacing w:val="2"/>
                <w:sz w:val="24"/>
                <w:szCs w:val="24"/>
              </w:rPr>
              <w:t xml:space="preserve">областного бюджета – </w:t>
            </w:r>
            <w:r>
              <w:rPr>
                <w:b/>
                <w:spacing w:val="2"/>
                <w:sz w:val="24"/>
                <w:szCs w:val="24"/>
              </w:rPr>
              <w:t>30</w:t>
            </w:r>
            <w:r>
              <w:rPr>
                <w:b/>
                <w:bCs/>
                <w:spacing w:val="2"/>
                <w:sz w:val="24"/>
                <w:szCs w:val="24"/>
              </w:rPr>
              <w:t>00,000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тыс. рублей; средства местного бюджета –   </w:t>
            </w:r>
            <w:r>
              <w:rPr>
                <w:b/>
                <w:spacing w:val="1"/>
                <w:sz w:val="24"/>
                <w:szCs w:val="24"/>
              </w:rPr>
              <w:t xml:space="preserve">90,000 </w:t>
            </w:r>
            <w:r>
              <w:rPr>
                <w:sz w:val="24"/>
                <w:szCs w:val="24"/>
              </w:rPr>
              <w:t>тыс. рублей;</w:t>
            </w:r>
            <w:proofErr w:type="gramEnd"/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- 2023 год – </w:t>
            </w:r>
            <w:r>
              <w:rPr>
                <w:b/>
                <w:sz w:val="24"/>
                <w:szCs w:val="24"/>
              </w:rPr>
              <w:t>2781</w:t>
            </w:r>
            <w:r>
              <w:rPr>
                <w:b/>
                <w:bCs/>
                <w:spacing w:val="1"/>
                <w:sz w:val="24"/>
                <w:szCs w:val="24"/>
              </w:rPr>
              <w:t>,000</w:t>
            </w:r>
            <w:r>
              <w:rPr>
                <w:spacing w:val="1"/>
                <w:sz w:val="24"/>
                <w:szCs w:val="24"/>
              </w:rPr>
              <w:t xml:space="preserve"> тыс. рублей, в том числе: средства </w:t>
            </w:r>
            <w:r>
              <w:rPr>
                <w:spacing w:val="2"/>
                <w:sz w:val="24"/>
                <w:szCs w:val="24"/>
              </w:rPr>
              <w:t xml:space="preserve">областного бюджета – </w:t>
            </w:r>
            <w:r>
              <w:rPr>
                <w:b/>
                <w:spacing w:val="2"/>
                <w:sz w:val="24"/>
                <w:szCs w:val="24"/>
              </w:rPr>
              <w:t>27</w:t>
            </w:r>
            <w:r>
              <w:rPr>
                <w:b/>
                <w:bCs/>
                <w:spacing w:val="2"/>
                <w:sz w:val="24"/>
                <w:szCs w:val="24"/>
              </w:rPr>
              <w:t>00,000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тыс. рублей; средства местного бюджета –   </w:t>
            </w:r>
            <w:r>
              <w:rPr>
                <w:b/>
                <w:spacing w:val="1"/>
                <w:sz w:val="24"/>
                <w:szCs w:val="24"/>
              </w:rPr>
              <w:t xml:space="preserve">81,000 </w:t>
            </w:r>
            <w:r>
              <w:rPr>
                <w:sz w:val="24"/>
                <w:szCs w:val="24"/>
              </w:rPr>
              <w:t>тыс. рублей.</w:t>
            </w:r>
            <w:proofErr w:type="gramEnd"/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-2024 года –</w:t>
            </w:r>
            <w:r>
              <w:rPr>
                <w:b/>
                <w:bCs/>
                <w:spacing w:val="1"/>
                <w:sz w:val="24"/>
                <w:szCs w:val="24"/>
              </w:rPr>
              <w:t>1545,000</w:t>
            </w:r>
            <w:r>
              <w:rPr>
                <w:spacing w:val="1"/>
                <w:sz w:val="24"/>
                <w:szCs w:val="24"/>
              </w:rPr>
              <w:t xml:space="preserve"> тыс. рублей, в том числе: средства </w:t>
            </w:r>
            <w:r>
              <w:rPr>
                <w:spacing w:val="2"/>
                <w:sz w:val="24"/>
                <w:szCs w:val="24"/>
              </w:rPr>
              <w:t xml:space="preserve">областного бюджета – </w:t>
            </w:r>
            <w:r>
              <w:rPr>
                <w:b/>
                <w:bCs/>
                <w:spacing w:val="2"/>
                <w:sz w:val="24"/>
                <w:szCs w:val="24"/>
              </w:rPr>
              <w:t>1500,000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тыс. рублей; средства местного бюджета –   </w:t>
            </w:r>
            <w:r>
              <w:rPr>
                <w:b/>
                <w:spacing w:val="1"/>
                <w:sz w:val="24"/>
                <w:szCs w:val="24"/>
              </w:rPr>
              <w:t xml:space="preserve">45,000 </w:t>
            </w:r>
            <w:r>
              <w:rPr>
                <w:sz w:val="24"/>
                <w:szCs w:val="24"/>
              </w:rPr>
              <w:t>тыс. рублей.</w:t>
            </w:r>
            <w:proofErr w:type="gramEnd"/>
          </w:p>
          <w:p w:rsidR="00182DE4" w:rsidRDefault="00182DE4">
            <w:pPr>
              <w:ind w:right="29"/>
              <w:jc w:val="both"/>
              <w:rPr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</w:tcPr>
          <w:p w:rsidR="00182DE4" w:rsidRDefault="00182DE4">
            <w:pPr>
              <w:ind w:right="2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8" w:type="dxa"/>
          </w:tcPr>
          <w:p w:rsidR="00182DE4" w:rsidRDefault="00182DE4">
            <w:pPr>
              <w:ind w:right="2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82DE4" w:rsidTr="00182DE4">
        <w:tc>
          <w:tcPr>
            <w:tcW w:w="4361" w:type="dxa"/>
            <w:hideMark/>
          </w:tcPr>
          <w:p w:rsidR="00182DE4" w:rsidRDefault="00182DE4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Организация управления и система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6048" w:type="dxa"/>
            <w:hideMark/>
          </w:tcPr>
          <w:p w:rsidR="00182DE4" w:rsidRDefault="00182DE4">
            <w:pPr>
              <w:ind w:right="29" w:hanging="2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Управление и </w:t>
            </w:r>
            <w:proofErr w:type="gramStart"/>
            <w:r>
              <w:rPr>
                <w:color w:val="000000"/>
                <w:spacing w:val="1"/>
                <w:sz w:val="24"/>
                <w:szCs w:val="24"/>
              </w:rPr>
              <w:t>контроль за</w:t>
            </w:r>
            <w:proofErr w:type="gramEnd"/>
            <w:r>
              <w:rPr>
                <w:color w:val="000000"/>
                <w:spacing w:val="1"/>
                <w:sz w:val="24"/>
                <w:szCs w:val="24"/>
              </w:rPr>
              <w:t xml:space="preserve"> исполнением мероприятий программы осуществляются администрацией муниципального образования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Сакмарский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 Сельсовет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Сакмарского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района Оренбургской области.</w:t>
            </w:r>
          </w:p>
        </w:tc>
      </w:tr>
    </w:tbl>
    <w:p w:rsidR="00182DE4" w:rsidRDefault="00182DE4" w:rsidP="00182DE4">
      <w:pPr>
        <w:shd w:val="clear" w:color="auto" w:fill="FFFFFF"/>
        <w:ind w:right="29"/>
        <w:rPr>
          <w:b/>
          <w:sz w:val="24"/>
          <w:szCs w:val="24"/>
        </w:rPr>
      </w:pPr>
    </w:p>
    <w:p w:rsidR="00182DE4" w:rsidRDefault="00182DE4" w:rsidP="00182DE4">
      <w:pPr>
        <w:shd w:val="clear" w:color="auto" w:fill="FFFFFF"/>
        <w:ind w:right="29"/>
        <w:rPr>
          <w:b/>
          <w:sz w:val="24"/>
          <w:szCs w:val="24"/>
        </w:rPr>
      </w:pPr>
    </w:p>
    <w:p w:rsidR="00182DE4" w:rsidRDefault="00182DE4" w:rsidP="00182DE4">
      <w:pPr>
        <w:numPr>
          <w:ilvl w:val="0"/>
          <w:numId w:val="2"/>
        </w:numPr>
        <w:shd w:val="clear" w:color="auto" w:fill="FFFFFF"/>
        <w:tabs>
          <w:tab w:val="num" w:pos="0"/>
        </w:tabs>
        <w:ind w:left="0" w:right="29"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 существующего состояния системы коммунальной инфраструктуры</w:t>
      </w:r>
    </w:p>
    <w:p w:rsidR="00182DE4" w:rsidRDefault="00182DE4" w:rsidP="00182DE4">
      <w:pPr>
        <w:shd w:val="clear" w:color="auto" w:fill="FFFFFF"/>
        <w:ind w:right="29"/>
        <w:rPr>
          <w:b/>
          <w:sz w:val="24"/>
          <w:szCs w:val="24"/>
        </w:rPr>
      </w:pPr>
    </w:p>
    <w:p w:rsidR="00182DE4" w:rsidRDefault="00182DE4" w:rsidP="00182DE4">
      <w:pPr>
        <w:shd w:val="clear" w:color="auto" w:fill="FFFFFF"/>
        <w:tabs>
          <w:tab w:val="num" w:pos="0"/>
        </w:tabs>
        <w:ind w:right="29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Высокий уровень износа и технологическая отсталость основных фондов коммунального комплекса связаны с остаточным финансированием и проводимой в предыдущие годы тарифной политикой.</w:t>
      </w:r>
      <w:proofErr w:type="gramEnd"/>
      <w:r>
        <w:rPr>
          <w:sz w:val="24"/>
          <w:szCs w:val="24"/>
        </w:rPr>
        <w:t xml:space="preserve"> Действовавшая  тарифная политика не обеспечивала реальных финансовых потребностей организаций коммунального комплекса в обновлении и модернизации основных фондов и не формировала стимулов к сокращению затрат. Несовершенство процедур тарифного регулирования и договорных отношений в коммунальном комплексе препятствует привлечению частных инвестиций в коммунальный сектор экономики.</w:t>
      </w:r>
    </w:p>
    <w:p w:rsidR="00182DE4" w:rsidRDefault="00182DE4" w:rsidP="00182DE4">
      <w:pPr>
        <w:shd w:val="clear" w:color="auto" w:fill="FFFFFF"/>
        <w:tabs>
          <w:tab w:val="num" w:pos="0"/>
        </w:tabs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Следствием высокого износа и технологической отсталости основных фондов в коммунальном комплексе является качество коммунальных услуг, не соответствующее установленным стандартам.</w:t>
      </w:r>
    </w:p>
    <w:p w:rsidR="00182DE4" w:rsidRDefault="00182DE4" w:rsidP="00182DE4">
      <w:pPr>
        <w:shd w:val="clear" w:color="auto" w:fill="FFFFFF"/>
        <w:tabs>
          <w:tab w:val="num" w:pos="0"/>
        </w:tabs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Уровень износа объектов коммунальной инфраструктуры на территории МО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составляет в настоящее время в  среднем 61 %.</w:t>
      </w:r>
    </w:p>
    <w:p w:rsidR="00182DE4" w:rsidRDefault="00182DE4" w:rsidP="00182DE4">
      <w:pPr>
        <w:tabs>
          <w:tab w:val="num" w:pos="0"/>
        </w:tabs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Отмечается несоответствие фактического объема инвестиций в модернизацию и реконструкцию основных фондов  коммунальной инфраструктуры даже минимальным потребностям.</w:t>
      </w:r>
    </w:p>
    <w:p w:rsidR="00182DE4" w:rsidRDefault="00182DE4" w:rsidP="00182DE4">
      <w:pPr>
        <w:tabs>
          <w:tab w:val="num" w:pos="0"/>
        </w:tabs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вышеуказанным</w:t>
      </w:r>
      <w:proofErr w:type="gramEnd"/>
      <w:r>
        <w:rPr>
          <w:sz w:val="24"/>
          <w:szCs w:val="24"/>
        </w:rPr>
        <w:t xml:space="preserve"> планово-предупредительный ремонт сетей и оборудования систем теплоснабжения, водоснабжения, водоотведения, коммунальной энергетики практически полностью уступил место аварийно-восстановительным работам, что привело к падению надежности объектов коммунальной инфраструктуры и их безопасности.</w:t>
      </w:r>
    </w:p>
    <w:p w:rsidR="00182DE4" w:rsidRDefault="00182DE4" w:rsidP="00182DE4">
      <w:pPr>
        <w:tabs>
          <w:tab w:val="num" w:pos="0"/>
        </w:tabs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Неэффективное использование энергоресурсов выражается в высоких потерях воды, тепловой и электрической энергии в процессе производства и их транспортировки до потребителей.</w:t>
      </w:r>
    </w:p>
    <w:p w:rsidR="00182DE4" w:rsidRDefault="00182DE4" w:rsidP="00182DE4">
      <w:pPr>
        <w:tabs>
          <w:tab w:val="num" w:pos="0"/>
        </w:tabs>
        <w:ind w:right="2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Действующий в большинстве случаев порядок формирования тарифов на услуги теплоснабжения, электроснабжения, водоснабжения и водоотведения по фактическим </w:t>
      </w:r>
      <w:r>
        <w:rPr>
          <w:sz w:val="24"/>
          <w:szCs w:val="24"/>
        </w:rPr>
        <w:lastRenderedPageBreak/>
        <w:t>затратам в пределах установленного роста размера платы граждан, без учета необходимой рентабельности не дает возможности обновлять основные фонды, приводит к увеличению их износа.</w:t>
      </w:r>
    </w:p>
    <w:p w:rsidR="00182DE4" w:rsidRDefault="00182DE4" w:rsidP="00182DE4">
      <w:pPr>
        <w:pStyle w:val="a9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Программа комплексного развития системы коммунальной инфраструктуры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Сакмарский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сельсовет 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района Оренбургской области на 2014- 2024 годы предусматривает повышение качества предоставляемых коммунальных услуг для населения. Программа  разработана на основании Федерального закона от 06.10.2003 г. № 131-ФЗ «Об общих принципах организации местного самоуправления в Российской Федерации», Федерального закона от 30.12.2004 г. № 210-ФЗ «Об основах регулирования тарифов организацией коммунального комплекса».</w:t>
      </w:r>
    </w:p>
    <w:p w:rsidR="00182DE4" w:rsidRDefault="00182DE4" w:rsidP="00182DE4">
      <w:pPr>
        <w:pStyle w:val="a9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Программа направлена на обеспечение надежного и устойчивого обслуживания потребителей коммунальных услуг, снижение сверхнормативного износа объектов коммунальной инфраструктуры, модернизацию этих объектов путем внедрения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ресурсоэнергосберегающих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технологий, разработку и внедрение мер по стимулированию эффективного и рационального хозяйствования организаций коммунального комплекса, привлечение средств внебюджетных источников. </w:t>
      </w:r>
      <w:r>
        <w:rPr>
          <w:rFonts w:ascii="Times New Roman" w:eastAsia="Times New Roman" w:hAnsi="Times New Roman" w:cs="Times New Roman"/>
          <w:color w:val="auto"/>
        </w:rPr>
        <w:br/>
        <w:t xml:space="preserve">Программа определяет основные направления развития коммунальной инфраструктуры, то есть объектов теплоснабжения, водоснабжения, водоотведения в целях повышения качества услуг и улучшения экономического состояния поселения. 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Сакмарский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района Оренбургской области и в полной мере соответствует государственной политике реформирования коммунального комплекса Российской Федерации. </w:t>
      </w:r>
      <w:r>
        <w:rPr>
          <w:rFonts w:ascii="Times New Roman" w:eastAsia="Times New Roman" w:hAnsi="Times New Roman" w:cs="Times New Roman"/>
          <w:color w:val="auto"/>
        </w:rPr>
        <w:br/>
        <w:t xml:space="preserve">Предусмотренное данной Программой развитие систем коммунальной инфраструктуры поселения позволит обеспечить надежное и устойчивое обслуживание потребителей коммунальных услуг, снижение сверхнормативного износа объектов коммунальной инфраструктуры. </w:t>
      </w:r>
      <w:r>
        <w:rPr>
          <w:rFonts w:ascii="Times New Roman" w:eastAsia="Times New Roman" w:hAnsi="Times New Roman" w:cs="Times New Roman"/>
          <w:color w:val="auto"/>
        </w:rPr>
        <w:br/>
        <w:t xml:space="preserve">Данная Программа является основанием для выдачи технических заданий по разработке инвестиционных программ организаций коммунального комплекса по развитию систем коммунальной инфраструктуры. </w:t>
      </w:r>
    </w:p>
    <w:p w:rsidR="00182DE4" w:rsidRDefault="00182DE4" w:rsidP="00182DE4">
      <w:pPr>
        <w:pStyle w:val="a9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r>
        <w:rPr>
          <w:rFonts w:ascii="Times New Roman" w:eastAsia="Times New Roman" w:hAnsi="Times New Roman" w:cs="Times New Roman"/>
          <w:color w:val="auto"/>
        </w:rPr>
        <w:t>Сакмарский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сельсовет  расположен в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Сакмарском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районе Оренбургской области. Территория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Сакмарский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сельсовет  граничит: с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Краснокоммунарским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поссоветом,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Архиповским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Марьевским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Светлинским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Татарокаргалинским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сельсоветами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района Оренбургской области.</w:t>
      </w:r>
    </w:p>
    <w:p w:rsidR="00182DE4" w:rsidRDefault="00182DE4" w:rsidP="00182DE4">
      <w:pPr>
        <w:pStyle w:val="a9"/>
        <w:ind w:left="0" w:firstLine="709"/>
        <w:jc w:val="both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auto"/>
        </w:rPr>
        <w:t xml:space="preserve">На территории муниципального образования  расположено два населенных пункта – село Сакмара и поселок Рыбхоз. Село Сакмара является районным центром 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района. 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Общая площадь МО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-  10 373 га.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Значительную часть территории в границах муниципального образования занимают земли сельскохозяйственного назначения, а так же земли лесного фонда. На территории имеются защитные лесные насаждения, представленные лесными полосами. По краю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протягивается река Сакмара. 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населения услугами в сфере жилищно-коммунального хозяйства в селе функционируют следующие предприятия: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Муниципальное унитарное предприятие жилищно-коммунального хозяйства  «Наше село» - обслуживает водопроводные, канализационные сети, составляющие единую технологическую цепь по водоснабжению и водоотведению для предоставления указанных услуг потребителям в районном центре Сакмара, а также оказывает услуги по теплоснабжению;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Государственное унитарное предприятие «</w:t>
      </w:r>
      <w:proofErr w:type="spellStart"/>
      <w:r>
        <w:rPr>
          <w:sz w:val="24"/>
          <w:szCs w:val="24"/>
        </w:rPr>
        <w:t>Оренбургкоммунэлектросеть</w:t>
      </w:r>
      <w:proofErr w:type="spellEnd"/>
      <w:r>
        <w:rPr>
          <w:sz w:val="24"/>
          <w:szCs w:val="24"/>
        </w:rPr>
        <w:t xml:space="preserve">» - оказывает услуги по электроснабжению; 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Открытое акционерное общество «МРСК Волги» - оказывает услуги по электроснабжению;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Открытое акционерное общество «</w:t>
      </w:r>
      <w:proofErr w:type="spellStart"/>
      <w:r>
        <w:rPr>
          <w:sz w:val="24"/>
          <w:szCs w:val="24"/>
        </w:rPr>
        <w:t>Оренбургэнергосбыт</w:t>
      </w:r>
      <w:proofErr w:type="spellEnd"/>
      <w:r>
        <w:rPr>
          <w:sz w:val="24"/>
          <w:szCs w:val="24"/>
        </w:rPr>
        <w:t xml:space="preserve">» - оказывает услуги по сбыту электроэнергии; 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Открытое акционерное общество «</w:t>
      </w:r>
      <w:proofErr w:type="spellStart"/>
      <w:r>
        <w:rPr>
          <w:sz w:val="24"/>
          <w:szCs w:val="24"/>
        </w:rPr>
        <w:t>Оренбургоблгаз</w:t>
      </w:r>
      <w:proofErr w:type="spellEnd"/>
      <w:r>
        <w:rPr>
          <w:sz w:val="24"/>
          <w:szCs w:val="24"/>
        </w:rPr>
        <w:t>» трест «</w:t>
      </w:r>
      <w:proofErr w:type="spellStart"/>
      <w:r>
        <w:rPr>
          <w:sz w:val="24"/>
          <w:szCs w:val="24"/>
        </w:rPr>
        <w:t>Оренбургцентрсельгаз</w:t>
      </w:r>
      <w:proofErr w:type="spellEnd"/>
      <w:r>
        <w:rPr>
          <w:sz w:val="24"/>
          <w:szCs w:val="24"/>
        </w:rPr>
        <w:t xml:space="preserve">» - осуществляет деятельность по предоставлению услуги по газоснабжению. 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Муниципальная целевая программа «Комплексное развитие систем коммунальной инфраструктуры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 района Оренбургской области на 2019 - 2024 годы» является базовым документом для разработки инвестиционных и производственных программ организаций коммунального комплекса муниципального образования.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Программа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сельсовета.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настоящее время практически все предприятия коммунального хозяйства испытывают острую потребность в инвестициях, которые необходимы для роста экономической активности, обновления основных фондов и внедрения прогрессивных технологий. Коммунальные системы </w:t>
      </w:r>
      <w:proofErr w:type="spellStart"/>
      <w:r>
        <w:rPr>
          <w:sz w:val="24"/>
          <w:szCs w:val="24"/>
        </w:rPr>
        <w:t>затратны</w:t>
      </w:r>
      <w:proofErr w:type="spellEnd"/>
      <w:r>
        <w:rPr>
          <w:sz w:val="24"/>
          <w:szCs w:val="24"/>
        </w:rPr>
        <w:t xml:space="preserve"> и масштабны, при этом коммунальная инфраструктура значительно изношена. Добиться существенных изменений параметров функционирования коммунальных систем за ограниченный интервал времени трудно. Программа рассчитана на десять лет и предполагается, что приобретение коммунальных услуг населением будет реализовываться за счет средств населения, а модернизация объектов коммунальной инфраструктуры подлежит </w:t>
      </w:r>
      <w:proofErr w:type="spellStart"/>
      <w:r>
        <w:rPr>
          <w:sz w:val="24"/>
          <w:szCs w:val="24"/>
        </w:rPr>
        <w:t>софинансированию</w:t>
      </w:r>
      <w:proofErr w:type="spellEnd"/>
      <w:r>
        <w:rPr>
          <w:sz w:val="24"/>
          <w:szCs w:val="24"/>
        </w:rPr>
        <w:t xml:space="preserve"> из бюджетов всех уровней. Значит, прогноз способности населения, бюджета и других потребителей оплачивать развитие коммунальной инфраструктуры становится ключевым параметром определения масштабов реализации Программы. По своему содержанию проблемы жилищно-коммунального хозяйства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сельсовета носят комплексный характер и без применения системных подходов и программно-целевых методов не могут быть решены в полном объеме.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мероприятий Программы позволит: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повысить надежность работы инженерной инфраструктуры;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повысить комфортность условий проживания населения на территории села за счет повышения качества предоставляемых коммунальных услуг;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снизить потребление энергетических ресурсов в результате снижения потерь в процессе производства и доставки энергоресурсов потребителям;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повысить рациональное использование энергоресурсов.</w:t>
      </w: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2"/>
        <w:rPr>
          <w:b/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1.1. Водоснабжение и водоотведение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pStyle w:val="a4"/>
        <w:ind w:firstLine="709"/>
        <w:jc w:val="left"/>
        <w:rPr>
          <w:szCs w:val="24"/>
        </w:rPr>
      </w:pPr>
      <w:r>
        <w:rPr>
          <w:szCs w:val="24"/>
        </w:rPr>
        <w:t>Источником водоснабжения являются  река Сакмара, подземные воды. Основные технические показатели системы водоснабжения представлены в таблице 1.</w:t>
      </w:r>
    </w:p>
    <w:p w:rsidR="00182DE4" w:rsidRDefault="00182DE4" w:rsidP="00182DE4">
      <w:pPr>
        <w:jc w:val="right"/>
        <w:rPr>
          <w:sz w:val="24"/>
          <w:szCs w:val="24"/>
        </w:rPr>
      </w:pPr>
      <w:r>
        <w:rPr>
          <w:sz w:val="24"/>
          <w:szCs w:val="24"/>
        </w:rPr>
        <w:br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"/>
        <w:gridCol w:w="5660"/>
        <w:gridCol w:w="2088"/>
        <w:gridCol w:w="1334"/>
      </w:tblGrid>
      <w:tr w:rsidR="00182DE4" w:rsidTr="00182DE4">
        <w:trPr>
          <w:cantSplit/>
          <w:trHeight w:val="47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pStyle w:val="1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DE4" w:rsidRDefault="00182DE4">
            <w:pPr>
              <w:pStyle w:val="1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</w:t>
            </w:r>
          </w:p>
        </w:tc>
      </w:tr>
      <w:tr w:rsidR="00182DE4" w:rsidTr="00182DE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82DE4" w:rsidTr="00182DE4">
        <w:trPr>
          <w:cantSplit/>
          <w:trHeight w:val="346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Подъем воды установленная производственная мощность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тыс. м3 /год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</w:t>
            </w:r>
          </w:p>
        </w:tc>
      </w:tr>
      <w:tr w:rsidR="00182DE4" w:rsidTr="00182DE4">
        <w:trPr>
          <w:cantSplit/>
          <w:trHeight w:val="40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Протяженность водопровода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км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20,5</w:t>
            </w:r>
          </w:p>
        </w:tc>
      </w:tr>
      <w:tr w:rsidR="00182DE4" w:rsidTr="00182DE4">
        <w:trPr>
          <w:cantSplit/>
          <w:trHeight w:val="27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Водопроводные очистные сооружения: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82DE4" w:rsidTr="00182DE4">
        <w:trPr>
          <w:cantSplit/>
          <w:trHeight w:val="41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Водомерный учет:     количество жилых домов подключенных к системе водоснабжения/из них оборудовано узлами учета воды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чел./</w:t>
            </w: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1955/930</w:t>
            </w:r>
          </w:p>
        </w:tc>
      </w:tr>
    </w:tbl>
    <w:p w:rsidR="00182DE4" w:rsidRDefault="00182DE4" w:rsidP="00182DE4">
      <w:pPr>
        <w:pStyle w:val="1"/>
        <w:jc w:val="both"/>
        <w:rPr>
          <w:szCs w:val="24"/>
        </w:rPr>
      </w:pPr>
      <w:r>
        <w:rPr>
          <w:szCs w:val="24"/>
        </w:rPr>
        <w:lastRenderedPageBreak/>
        <w:t xml:space="preserve">Основным оборудованием являются </w:t>
      </w:r>
      <w:proofErr w:type="spellStart"/>
      <w:r>
        <w:rPr>
          <w:szCs w:val="24"/>
        </w:rPr>
        <w:t>погружные</w:t>
      </w:r>
      <w:proofErr w:type="spellEnd"/>
      <w:r>
        <w:rPr>
          <w:szCs w:val="24"/>
        </w:rPr>
        <w:t xml:space="preserve"> насосы ЭЦВ.  Качество питьевой воды соответствует </w:t>
      </w:r>
      <w:proofErr w:type="spellStart"/>
      <w:r>
        <w:rPr>
          <w:szCs w:val="24"/>
        </w:rPr>
        <w:t>СанПиН</w:t>
      </w:r>
      <w:proofErr w:type="spellEnd"/>
      <w:r>
        <w:rPr>
          <w:szCs w:val="24"/>
        </w:rPr>
        <w:t xml:space="preserve">  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182DE4" w:rsidRDefault="00182DE4" w:rsidP="00182DE4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Система водоснабжения поселения централизованная, объединенная для хозяйственно-питьевых и противопожарных нужд. Наружное пожаротушение предусматривается из подземных пожарных гидрантов (количество 27 шт.).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Система водоотведения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Сакмара</w:t>
      </w:r>
      <w:proofErr w:type="gramEnd"/>
      <w:r>
        <w:rPr>
          <w:sz w:val="24"/>
          <w:szCs w:val="24"/>
        </w:rPr>
        <w:t xml:space="preserve"> представлена зданием канализационной насосной станций, сетями водоотведения.</w:t>
      </w:r>
    </w:p>
    <w:p w:rsidR="00182DE4" w:rsidRDefault="00182DE4" w:rsidP="00182DE4">
      <w:pPr>
        <w:pStyle w:val="a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Протяженность  сетей с. Сакмара  составляет – 12,5 км. Количество жилых домов, подключенных к системе центральной канализации – 1302. </w:t>
      </w:r>
    </w:p>
    <w:p w:rsidR="00182DE4" w:rsidRDefault="00182DE4" w:rsidP="00182DE4">
      <w:pPr>
        <w:pStyle w:val="a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с. Сакмара очистные сооружения отсутствуют, в связи с этим сброс нечистот производится в самотечный коллектор канализационной насосной станции через р. Сакмара на очистные сооружения п. Красный Коммунар. Объем отведенных стоков составляет 99 тыс. м3 в год.</w:t>
      </w:r>
    </w:p>
    <w:p w:rsidR="00182DE4" w:rsidRDefault="00182DE4" w:rsidP="00182DE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территории поселения ливневая канализация отсутствует. Отвод дождевых и талых вод регулируется специально срезанными кюветами. 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2"/>
        <w:rPr>
          <w:b/>
          <w:sz w:val="24"/>
          <w:szCs w:val="24"/>
        </w:rPr>
      </w:pPr>
      <w:bookmarkStart w:id="0" w:name="Par317"/>
      <w:bookmarkEnd w:id="0"/>
      <w:r>
        <w:rPr>
          <w:b/>
          <w:sz w:val="24"/>
          <w:szCs w:val="24"/>
        </w:rPr>
        <w:t>1.2. Энергоснабжение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настоящее время электроснабжение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в основном осуществляется по распределительным </w:t>
      </w:r>
      <w:r>
        <w:rPr>
          <w:color w:val="000000"/>
          <w:sz w:val="24"/>
          <w:szCs w:val="24"/>
        </w:rPr>
        <w:t>линиям 10/0,4 кВ  от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подстанций </w:t>
      </w:r>
      <w:proofErr w:type="spellStart"/>
      <w:r>
        <w:rPr>
          <w:color w:val="000000"/>
          <w:sz w:val="24"/>
          <w:szCs w:val="24"/>
        </w:rPr>
        <w:t>Сакмарская</w:t>
      </w:r>
      <w:proofErr w:type="spellEnd"/>
      <w:r>
        <w:rPr>
          <w:color w:val="000000"/>
          <w:sz w:val="24"/>
          <w:szCs w:val="24"/>
        </w:rPr>
        <w:t xml:space="preserve"> 110/10 кВ.</w:t>
      </w:r>
      <w:r>
        <w:rPr>
          <w:sz w:val="24"/>
          <w:szCs w:val="24"/>
        </w:rPr>
        <w:t xml:space="preserve"> По территории поселения проходит линия </w:t>
      </w:r>
      <w:proofErr w:type="gramStart"/>
      <w:r>
        <w:rPr>
          <w:sz w:val="24"/>
          <w:szCs w:val="24"/>
        </w:rPr>
        <w:t>ВЛ</w:t>
      </w:r>
      <w:proofErr w:type="gramEnd"/>
      <w:r>
        <w:rPr>
          <w:sz w:val="24"/>
          <w:szCs w:val="24"/>
        </w:rPr>
        <w:t xml:space="preserve"> 10/0,4кВ. По балансовой принадлежности </w:t>
      </w:r>
      <w:proofErr w:type="spellStart"/>
      <w:r>
        <w:rPr>
          <w:sz w:val="24"/>
          <w:szCs w:val="24"/>
        </w:rPr>
        <w:t>электросетевые</w:t>
      </w:r>
      <w:proofErr w:type="spellEnd"/>
      <w:r>
        <w:rPr>
          <w:sz w:val="24"/>
          <w:szCs w:val="24"/>
        </w:rPr>
        <w:t xml:space="preserve"> объекты муниципального образования относятся к «</w:t>
      </w:r>
      <w:proofErr w:type="spellStart"/>
      <w:r>
        <w:rPr>
          <w:sz w:val="24"/>
          <w:szCs w:val="24"/>
        </w:rPr>
        <w:t>Сакмарской</w:t>
      </w:r>
      <w:proofErr w:type="spellEnd"/>
      <w:r>
        <w:rPr>
          <w:sz w:val="24"/>
          <w:szCs w:val="24"/>
        </w:rPr>
        <w:t xml:space="preserve">  РУЭС ГУП ОКС», Центральное предприятие электросетей. Электроснабжение бытовых потребителей и промышленных предприятий поселения осуществляется на </w:t>
      </w:r>
      <w:r>
        <w:rPr>
          <w:color w:val="000000"/>
          <w:sz w:val="24"/>
          <w:szCs w:val="24"/>
        </w:rPr>
        <w:t xml:space="preserve">напряжении 0,38 кВ и 0,22 кВ с шин распределительных понижающих подстанций (ПС) через трансформаторные подстанции (ТПП) 10/0,4кВ (в количестве 28шт, мощность — 7830 тыс. </w:t>
      </w:r>
      <w:proofErr w:type="spellStart"/>
      <w:r>
        <w:rPr>
          <w:color w:val="000000"/>
          <w:sz w:val="24"/>
          <w:szCs w:val="24"/>
        </w:rPr>
        <w:t>кВа</w:t>
      </w:r>
      <w:proofErr w:type="spellEnd"/>
      <w:r>
        <w:rPr>
          <w:color w:val="000000"/>
          <w:sz w:val="24"/>
          <w:szCs w:val="24"/>
        </w:rPr>
        <w:t xml:space="preserve">). </w:t>
      </w:r>
    </w:p>
    <w:p w:rsidR="00182DE4" w:rsidRDefault="00182DE4" w:rsidP="00182DE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характеристики подстанции, обслуживающей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Сакмара представлена в таблице 2.</w:t>
      </w:r>
    </w:p>
    <w:p w:rsidR="00182DE4" w:rsidRDefault="00182DE4" w:rsidP="00182DE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1921"/>
        <w:gridCol w:w="1550"/>
        <w:gridCol w:w="5328"/>
      </w:tblGrid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подстанций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Напряжение (тыс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 и мощность трансформаторов на каждой подстанции (</w:t>
            </w: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* тыс.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400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400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630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400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  <w:tr w:rsidR="00182DE4" w:rsidTr="00182DE4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КТП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100 </w:t>
            </w:r>
            <w:proofErr w:type="spellStart"/>
            <w:r>
              <w:rPr>
                <w:sz w:val="16"/>
                <w:szCs w:val="16"/>
              </w:rPr>
              <w:t>кВА</w:t>
            </w:r>
            <w:proofErr w:type="spellEnd"/>
          </w:p>
        </w:tc>
      </w:tr>
    </w:tbl>
    <w:p w:rsidR="00182DE4" w:rsidRDefault="00182DE4" w:rsidP="00182DE4">
      <w:pPr>
        <w:jc w:val="both"/>
        <w:rPr>
          <w:sz w:val="24"/>
          <w:szCs w:val="24"/>
        </w:rPr>
      </w:pPr>
    </w:p>
    <w:p w:rsidR="00182DE4" w:rsidRDefault="00182DE4" w:rsidP="00182DE4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Электрические сети напряжением 10/0,6 кВ - подводные.  Схема электроснабжения смешанная, выполненная проводом АС по опорам ВЛ. Протяжённость </w:t>
      </w:r>
      <w:proofErr w:type="gramStart"/>
      <w:r>
        <w:rPr>
          <w:color w:val="000000"/>
          <w:sz w:val="24"/>
          <w:szCs w:val="24"/>
        </w:rPr>
        <w:t>ВЛ</w:t>
      </w:r>
      <w:proofErr w:type="gramEnd"/>
      <w:r>
        <w:rPr>
          <w:color w:val="000000"/>
          <w:sz w:val="24"/>
          <w:szCs w:val="24"/>
        </w:rPr>
        <w:t xml:space="preserve"> 10 кВ — 40 км. </w:t>
      </w:r>
      <w:r>
        <w:rPr>
          <w:color w:val="000000"/>
          <w:sz w:val="24"/>
          <w:szCs w:val="24"/>
        </w:rPr>
        <w:br/>
        <w:t xml:space="preserve">            Электрические сети напряжением 0,4 кВ —  четырех проводные. Схема электроснабжения смешанная, как открытого типа выполненная проводом А по опорам </w:t>
      </w:r>
      <w:proofErr w:type="gramStart"/>
      <w:r>
        <w:rPr>
          <w:color w:val="000000"/>
          <w:sz w:val="24"/>
          <w:szCs w:val="24"/>
        </w:rPr>
        <w:t>ВЛ</w:t>
      </w:r>
      <w:proofErr w:type="gramEnd"/>
      <w:r>
        <w:rPr>
          <w:color w:val="000000"/>
          <w:sz w:val="24"/>
          <w:szCs w:val="24"/>
        </w:rPr>
        <w:t>, так и силовыми кабелями 10/0,4 кВ проложенными в земле.  Оборудование на подстанциях находится в удовлетворительном состоянии.</w:t>
      </w:r>
      <w:r>
        <w:rPr>
          <w:sz w:val="24"/>
          <w:szCs w:val="24"/>
        </w:rPr>
        <w:t xml:space="preserve"> 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ind w:firstLine="709"/>
        <w:jc w:val="center"/>
        <w:rPr>
          <w:sz w:val="24"/>
          <w:szCs w:val="24"/>
        </w:rPr>
      </w:pPr>
      <w:r>
        <w:rPr>
          <w:b/>
          <w:sz w:val="24"/>
          <w:szCs w:val="24"/>
        </w:rPr>
        <w:t>1.3. Теплоснабжение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муниципальном образовании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района Оренбургской области  теплоснабжение социально значимых объектов осуществляется двумя котельными, переданными в хозяйственное ведение МУП ЖКХ «Наше село». Протяженность тепловых сетей в двухтрубном исчислении 4,07 км.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Теплоснабжение МУЗ «</w:t>
      </w:r>
      <w:proofErr w:type="spellStart"/>
      <w:r>
        <w:rPr>
          <w:sz w:val="24"/>
          <w:szCs w:val="24"/>
        </w:rPr>
        <w:t>Сакмарская</w:t>
      </w:r>
      <w:proofErr w:type="spellEnd"/>
      <w:r>
        <w:rPr>
          <w:sz w:val="24"/>
          <w:szCs w:val="24"/>
        </w:rPr>
        <w:t xml:space="preserve"> ЦРБ» осуществляется собственной  котельной. 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качестве топлива используется природный газ. </w:t>
      </w:r>
      <w:r>
        <w:rPr>
          <w:sz w:val="24"/>
          <w:szCs w:val="24"/>
        </w:rPr>
        <w:br/>
        <w:t>Основные технические характеристики оборудования системы теплоснабжения представлены в таблице 3.</w:t>
      </w:r>
    </w:p>
    <w:p w:rsidR="00182DE4" w:rsidRDefault="00182DE4" w:rsidP="00182DE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0"/>
        <w:gridCol w:w="806"/>
        <w:gridCol w:w="954"/>
        <w:gridCol w:w="1332"/>
        <w:gridCol w:w="829"/>
        <w:gridCol w:w="867"/>
        <w:gridCol w:w="921"/>
        <w:gridCol w:w="791"/>
        <w:gridCol w:w="1045"/>
        <w:gridCol w:w="1146"/>
      </w:tblGrid>
      <w:tr w:rsidR="00182DE4" w:rsidTr="00182DE4"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котельной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Марка и количество котлов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 ввода в эксплуатацию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Производительность, Гкал/час (т/ч)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топливо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Категория надежности, мощность, кВт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Номинальная мощность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Наличие резервного фидера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Высота, диаметр основания, материал тубы, год ввода в эксплуатацию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Характеристика потребителей Соцкультбыт</w:t>
            </w:r>
          </w:p>
        </w:tc>
      </w:tr>
      <w:tr w:rsidR="00182DE4" w:rsidTr="00182DE4"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Сакмарский</w:t>
            </w:r>
            <w:proofErr w:type="spellEnd"/>
            <w:r>
              <w:rPr>
                <w:sz w:val="16"/>
                <w:szCs w:val="16"/>
              </w:rPr>
              <w:t xml:space="preserve"> район, </w:t>
            </w:r>
            <w:proofErr w:type="gramStart"/>
            <w:r>
              <w:rPr>
                <w:sz w:val="16"/>
                <w:szCs w:val="16"/>
              </w:rPr>
              <w:t>с</w:t>
            </w:r>
            <w:proofErr w:type="gramEnd"/>
            <w:r>
              <w:rPr>
                <w:sz w:val="16"/>
                <w:szCs w:val="16"/>
              </w:rPr>
              <w:t>. Сакмара, ул. Набережная, 8а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КСВ-1,86 – 4 шт.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1988 г.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Q</w:t>
            </w:r>
            <w:r>
              <w:rPr>
                <w:sz w:val="16"/>
                <w:szCs w:val="16"/>
              </w:rPr>
              <w:t xml:space="preserve"> = 6,60 Гкал/час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категории, 145 кВт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кВт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фидер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Ду</w:t>
            </w:r>
            <w:proofErr w:type="spellEnd"/>
            <w:r>
              <w:rPr>
                <w:sz w:val="16"/>
                <w:szCs w:val="16"/>
              </w:rPr>
              <w:t xml:space="preserve"> 800 мм, </w:t>
            </w:r>
            <w:r>
              <w:rPr>
                <w:sz w:val="16"/>
                <w:szCs w:val="16"/>
                <w:lang w:val="en-US"/>
              </w:rPr>
              <w:t>L</w:t>
            </w:r>
            <w:r>
              <w:rPr>
                <w:sz w:val="16"/>
                <w:szCs w:val="16"/>
              </w:rPr>
              <w:t xml:space="preserve">= 45 м. </w:t>
            </w:r>
            <w:proofErr w:type="gramStart"/>
            <w:r>
              <w:rPr>
                <w:sz w:val="16"/>
                <w:szCs w:val="16"/>
              </w:rPr>
              <w:t>Металлическая</w:t>
            </w:r>
            <w:proofErr w:type="gramEnd"/>
            <w:r>
              <w:rPr>
                <w:sz w:val="16"/>
                <w:szCs w:val="16"/>
              </w:rPr>
              <w:t>, Год ввода 1988 г.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многоквартирные ж/дома – 16</w:t>
            </w:r>
          </w:p>
          <w:p w:rsidR="00182DE4" w:rsidRDefault="00182DE4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детский</w:t>
            </w:r>
            <w:proofErr w:type="gramEnd"/>
            <w:r>
              <w:rPr>
                <w:sz w:val="16"/>
                <w:szCs w:val="16"/>
              </w:rPr>
              <w:t xml:space="preserve"> сады -2,</w:t>
            </w:r>
          </w:p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з</w:t>
            </w:r>
            <w:proofErr w:type="gramEnd"/>
            <w:r>
              <w:rPr>
                <w:sz w:val="16"/>
                <w:szCs w:val="16"/>
              </w:rPr>
              <w:t>дания - 5</w:t>
            </w:r>
          </w:p>
        </w:tc>
      </w:tr>
      <w:tr w:rsidR="00182DE4" w:rsidTr="00182DE4"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Сакмарский</w:t>
            </w:r>
            <w:proofErr w:type="spellEnd"/>
            <w:r>
              <w:rPr>
                <w:sz w:val="16"/>
                <w:szCs w:val="16"/>
              </w:rPr>
              <w:t xml:space="preserve"> район, </w:t>
            </w:r>
            <w:proofErr w:type="gramStart"/>
            <w:r>
              <w:rPr>
                <w:sz w:val="16"/>
                <w:szCs w:val="16"/>
              </w:rPr>
              <w:t>с</w:t>
            </w:r>
            <w:proofErr w:type="gramEnd"/>
            <w:r>
              <w:rPr>
                <w:sz w:val="16"/>
                <w:szCs w:val="16"/>
              </w:rPr>
              <w:t xml:space="preserve">. </w:t>
            </w:r>
            <w:proofErr w:type="gramStart"/>
            <w:r>
              <w:rPr>
                <w:sz w:val="16"/>
                <w:szCs w:val="16"/>
              </w:rPr>
              <w:t>Сакмара</w:t>
            </w:r>
            <w:proofErr w:type="gramEnd"/>
            <w:r>
              <w:rPr>
                <w:sz w:val="16"/>
                <w:szCs w:val="16"/>
              </w:rPr>
              <w:t>, ул. Ленина, 2а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КСВ-1,86 – 3 шт.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1990 г.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Q</w:t>
            </w:r>
            <w:r>
              <w:rPr>
                <w:sz w:val="16"/>
                <w:szCs w:val="16"/>
              </w:rPr>
              <w:t xml:space="preserve"> = 4,95 Гкал/час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Природный газ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категории, 140 кВт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кВт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фидер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Ду</w:t>
            </w:r>
            <w:proofErr w:type="spellEnd"/>
            <w:r>
              <w:rPr>
                <w:sz w:val="16"/>
                <w:szCs w:val="16"/>
              </w:rPr>
              <w:t xml:space="preserve"> 600 мм, </w:t>
            </w:r>
            <w:r>
              <w:rPr>
                <w:sz w:val="16"/>
                <w:szCs w:val="16"/>
                <w:lang w:val="en-US"/>
              </w:rPr>
              <w:t>L</w:t>
            </w:r>
            <w:r>
              <w:rPr>
                <w:sz w:val="16"/>
                <w:szCs w:val="16"/>
              </w:rPr>
              <w:t xml:space="preserve">= 32 м. </w:t>
            </w:r>
            <w:proofErr w:type="gramStart"/>
            <w:r>
              <w:rPr>
                <w:sz w:val="16"/>
                <w:szCs w:val="16"/>
              </w:rPr>
              <w:t>Металлическая</w:t>
            </w:r>
            <w:proofErr w:type="gramEnd"/>
            <w:r>
              <w:rPr>
                <w:sz w:val="16"/>
                <w:szCs w:val="16"/>
              </w:rPr>
              <w:t>, Год ввода 2008 г.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DE4" w:rsidRDefault="00182DE4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ж</w:t>
            </w:r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д</w:t>
            </w:r>
            <w:proofErr w:type="spellEnd"/>
            <w:r>
              <w:rPr>
                <w:sz w:val="16"/>
                <w:szCs w:val="16"/>
              </w:rPr>
              <w:t xml:space="preserve"> –1,</w:t>
            </w:r>
          </w:p>
          <w:p w:rsidR="00182DE4" w:rsidRDefault="0018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школа – 1, общ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з</w:t>
            </w:r>
            <w:proofErr w:type="gramEnd"/>
            <w:r>
              <w:rPr>
                <w:sz w:val="16"/>
                <w:szCs w:val="16"/>
              </w:rPr>
              <w:t>дания – 35.</w:t>
            </w:r>
          </w:p>
        </w:tc>
      </w:tr>
    </w:tbl>
    <w:p w:rsidR="00182DE4" w:rsidRDefault="00182DE4" w:rsidP="00182DE4">
      <w:pPr>
        <w:jc w:val="both"/>
        <w:rPr>
          <w:sz w:val="24"/>
          <w:szCs w:val="24"/>
        </w:rPr>
      </w:pPr>
    </w:p>
    <w:p w:rsidR="00182DE4" w:rsidRDefault="00182DE4" w:rsidP="00182DE4">
      <w:pPr>
        <w:jc w:val="both"/>
        <w:rPr>
          <w:sz w:val="24"/>
          <w:szCs w:val="24"/>
        </w:rPr>
      </w:pP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Теплоносителем для систем отопления является сетевая вода. Температурный режим котельной – 95/70 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С.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Система теплоснабжения от вышеперечисленных котельных — закрытая. </w:t>
      </w:r>
      <w:r>
        <w:rPr>
          <w:sz w:val="24"/>
          <w:szCs w:val="24"/>
        </w:rPr>
        <w:br/>
        <w:t xml:space="preserve">Схема теплоснабжения тупиковая, двухтрубная, с насосным оборудованием. </w:t>
      </w:r>
      <w:r>
        <w:rPr>
          <w:sz w:val="24"/>
          <w:szCs w:val="24"/>
        </w:rPr>
        <w:br/>
        <w:t xml:space="preserve">Трубопроводы смонтированы из стальных электросварных труб. </w:t>
      </w:r>
      <w:r>
        <w:rPr>
          <w:sz w:val="24"/>
          <w:szCs w:val="24"/>
        </w:rPr>
        <w:br/>
        <w:t xml:space="preserve">Обеспечение теплом жилой застройки осуществляется от индивидуальных автономных отопительных и водонагревательных систем (работающих на природном газе), часть домов имеет печное отопление. 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перспективе до 2024  года в поселении не ожидается значительного увеличения </w:t>
      </w:r>
      <w:r>
        <w:rPr>
          <w:sz w:val="24"/>
          <w:szCs w:val="24"/>
        </w:rPr>
        <w:lastRenderedPageBreak/>
        <w:t>численности постоянного населения, что исключает необходимость в строительстве групповых котельных. Однако в настоящее время система теплоснабжения находится в неудовлетворительном состоянии. С учетом того, что теплоснабжение основных объектов социальной сферы, а также 16 двухэтажных жилых домов осуществляется за счет центрального отопления, котельные и сети требуют модернизации в первую очередь.</w:t>
      </w:r>
    </w:p>
    <w:p w:rsidR="00182DE4" w:rsidRDefault="00182DE4" w:rsidP="00182DE4">
      <w:pPr>
        <w:jc w:val="both"/>
        <w:rPr>
          <w:sz w:val="24"/>
          <w:szCs w:val="24"/>
        </w:rPr>
      </w:pPr>
    </w:p>
    <w:p w:rsidR="00182DE4" w:rsidRDefault="00182DE4" w:rsidP="00182D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1.4. Газоснабжение</w:t>
      </w:r>
    </w:p>
    <w:p w:rsidR="00182DE4" w:rsidRDefault="00182DE4" w:rsidP="00182DE4">
      <w:pPr>
        <w:jc w:val="both"/>
        <w:rPr>
          <w:sz w:val="24"/>
          <w:szCs w:val="24"/>
        </w:rPr>
      </w:pP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настоящее время газоснабжение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развивается на базе природного газа.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Распределение газа по поселению осуществляется по 2-х ступенчатой схеме: </w:t>
      </w:r>
      <w:r>
        <w:rPr>
          <w:sz w:val="24"/>
          <w:szCs w:val="24"/>
        </w:rPr>
        <w:br/>
      </w:r>
      <w:r>
        <w:rPr>
          <w:sz w:val="24"/>
          <w:szCs w:val="24"/>
        </w:rPr>
        <w:sym w:font="Symbol" w:char="002D"/>
      </w:r>
      <w:r>
        <w:rPr>
          <w:sz w:val="24"/>
          <w:szCs w:val="24"/>
        </w:rPr>
        <w:t xml:space="preserve"> I-я ступень — газопровод высокого давления II - ой категории </w:t>
      </w:r>
      <w:proofErr w:type="spellStart"/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 xml:space="preserve"> ≤ 0,6 МПА; </w:t>
      </w:r>
      <w:r>
        <w:rPr>
          <w:sz w:val="24"/>
          <w:szCs w:val="24"/>
        </w:rPr>
        <w:br/>
      </w:r>
      <w:r>
        <w:rPr>
          <w:sz w:val="24"/>
          <w:szCs w:val="24"/>
        </w:rPr>
        <w:sym w:font="Symbol" w:char="002D"/>
      </w:r>
      <w:r>
        <w:rPr>
          <w:sz w:val="24"/>
          <w:szCs w:val="24"/>
        </w:rPr>
        <w:t xml:space="preserve"> II-я ступень — газопровод низкого давления </w:t>
      </w:r>
      <w:proofErr w:type="spellStart"/>
      <w:r>
        <w:rPr>
          <w:sz w:val="24"/>
          <w:szCs w:val="24"/>
        </w:rPr>
        <w:t>р</w:t>
      </w:r>
      <w:proofErr w:type="spellEnd"/>
      <w:r>
        <w:rPr>
          <w:sz w:val="24"/>
          <w:szCs w:val="24"/>
        </w:rPr>
        <w:t xml:space="preserve"> ≤ 0,003 МПА. </w:t>
      </w:r>
      <w:r>
        <w:rPr>
          <w:sz w:val="24"/>
          <w:szCs w:val="24"/>
        </w:rPr>
        <w:br/>
        <w:t xml:space="preserve">Связь между ступенями осуществляется через газорегуляторные пункты (ШРП). Всего в поселении насчитывается 1 ШРП. По типу прокладки газопроводы всех категорий давления делятся на </w:t>
      </w:r>
      <w:proofErr w:type="gramStart"/>
      <w:r>
        <w:rPr>
          <w:sz w:val="24"/>
          <w:szCs w:val="24"/>
        </w:rPr>
        <w:t>подземный</w:t>
      </w:r>
      <w:proofErr w:type="gramEnd"/>
      <w:r>
        <w:rPr>
          <w:sz w:val="24"/>
          <w:szCs w:val="24"/>
        </w:rPr>
        <w:t xml:space="preserve"> и надземный. Надземный тип прокладки в основном для газопровода низкого давления. Технические характеристики ГРП и ШРП сведены в таблицу 4.</w:t>
      </w:r>
    </w:p>
    <w:p w:rsidR="00182DE4" w:rsidRDefault="00182DE4" w:rsidP="00182DE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p w:rsidR="00182DE4" w:rsidRDefault="00182DE4" w:rsidP="00182DE4">
      <w:pPr>
        <w:jc w:val="both"/>
        <w:rPr>
          <w:sz w:val="24"/>
          <w:szCs w:val="24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6"/>
        <w:gridCol w:w="1135"/>
        <w:gridCol w:w="1272"/>
        <w:gridCol w:w="1520"/>
        <w:gridCol w:w="1685"/>
        <w:gridCol w:w="2207"/>
      </w:tblGrid>
      <w:tr w:rsidR="00182DE4" w:rsidTr="00182DE4">
        <w:trPr>
          <w:trHeight w:val="536"/>
          <w:tblCellSpacing w:w="15" w:type="dxa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размещения</w:t>
            </w:r>
          </w:p>
        </w:tc>
        <w:tc>
          <w:tcPr>
            <w:tcW w:w="1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Внешний диаметр газопровода 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Рабочее давление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Пропускная способность куб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 xml:space="preserve"> в час</w:t>
            </w:r>
          </w:p>
        </w:tc>
      </w:tr>
      <w:tr w:rsidR="00182DE4" w:rsidTr="00182DE4">
        <w:trPr>
          <w:trHeight w:val="703"/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DE4" w:rsidRDefault="00182DE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Входной диаметр, </w:t>
            </w:r>
            <w:proofErr w:type="gramStart"/>
            <w:r>
              <w:rPr>
                <w:sz w:val="16"/>
                <w:szCs w:val="16"/>
              </w:rPr>
              <w:t>мм</w:t>
            </w:r>
            <w:proofErr w:type="gramEnd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Выходной диаметр, </w:t>
            </w:r>
            <w:proofErr w:type="gramStart"/>
            <w:r>
              <w:rPr>
                <w:sz w:val="16"/>
                <w:szCs w:val="16"/>
              </w:rPr>
              <w:t>мм</w:t>
            </w:r>
            <w:proofErr w:type="gram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Входное давление кг/см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Выходные давления кг/см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DE4" w:rsidRDefault="00182DE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182DE4" w:rsidTr="00182DE4">
        <w:trPr>
          <w:trHeight w:val="484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Пушкина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</w:tr>
      <w:tr w:rsidR="00182DE4" w:rsidTr="00182DE4">
        <w:trPr>
          <w:trHeight w:val="557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Хутор </w:t>
            </w:r>
            <w:proofErr w:type="spellStart"/>
            <w:r>
              <w:rPr>
                <w:sz w:val="16"/>
                <w:szCs w:val="16"/>
              </w:rPr>
              <w:t>Агеевский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182DE4" w:rsidTr="00182DE4">
        <w:trPr>
          <w:trHeight w:val="481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Зенин</w:t>
            </w:r>
            <w:proofErr w:type="spellEnd"/>
            <w:r>
              <w:rPr>
                <w:sz w:val="16"/>
                <w:szCs w:val="16"/>
              </w:rPr>
              <w:t xml:space="preserve"> А.С.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</w:tr>
      <w:tr w:rsidR="00182DE4" w:rsidTr="00182DE4">
        <w:trPr>
          <w:trHeight w:val="491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spellStart"/>
            <w:r>
              <w:rPr>
                <w:sz w:val="16"/>
                <w:szCs w:val="16"/>
              </w:rPr>
              <w:t>Сроителей</w:t>
            </w:r>
            <w:proofErr w:type="spellEnd"/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182DE4" w:rsidTr="00182DE4">
        <w:trPr>
          <w:trHeight w:val="483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Степная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</w:tr>
      <w:tr w:rsidR="00182DE4" w:rsidTr="00182DE4">
        <w:trPr>
          <w:trHeight w:val="492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Исамбетов</w:t>
            </w:r>
            <w:proofErr w:type="spellEnd"/>
            <w:r>
              <w:rPr>
                <w:sz w:val="16"/>
                <w:szCs w:val="16"/>
              </w:rPr>
              <w:t xml:space="preserve"> Н.Ш.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</w:tr>
      <w:tr w:rsidR="00182DE4" w:rsidTr="00182DE4">
        <w:trPr>
          <w:trHeight w:val="486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Хутор Михайловский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</w:tr>
      <w:tr w:rsidR="00182DE4" w:rsidTr="00182DE4">
        <w:trPr>
          <w:trHeight w:val="480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РСХТ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</w:tr>
      <w:tr w:rsidR="00182DE4" w:rsidTr="00182DE4">
        <w:trPr>
          <w:trHeight w:val="488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Телеграфная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</w:tr>
      <w:tr w:rsidR="00182DE4" w:rsidTr="00182DE4">
        <w:trPr>
          <w:trHeight w:val="495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Телеграфная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</w:tr>
      <w:tr w:rsidR="00182DE4" w:rsidTr="00182DE4">
        <w:trPr>
          <w:trHeight w:val="490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Пугачева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182DE4" w:rsidTr="00182DE4">
        <w:trPr>
          <w:trHeight w:val="484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Торговая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182DE4" w:rsidTr="00182DE4">
        <w:trPr>
          <w:trHeight w:val="477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Северо-Западный массив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  <w:tr w:rsidR="00182DE4" w:rsidTr="00182DE4">
        <w:trPr>
          <w:trHeight w:val="389"/>
          <w:tblCellSpacing w:w="15" w:type="dxa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ул. Спортивная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км/ см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0,003мм/</w:t>
            </w:r>
            <w:proofErr w:type="spellStart"/>
            <w:proofErr w:type="gramStart"/>
            <w:r>
              <w:rPr>
                <w:sz w:val="16"/>
                <w:szCs w:val="16"/>
              </w:rPr>
              <w:t>ст</w:t>
            </w:r>
            <w:proofErr w:type="spellEnd"/>
            <w:proofErr w:type="gramEnd"/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82DE4" w:rsidRDefault="00182D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</w:tr>
    </w:tbl>
    <w:p w:rsidR="00182DE4" w:rsidRDefault="00182DE4" w:rsidP="00182DE4">
      <w:pPr>
        <w:jc w:val="both"/>
        <w:rPr>
          <w:sz w:val="24"/>
          <w:szCs w:val="24"/>
        </w:rPr>
      </w:pPr>
    </w:p>
    <w:p w:rsidR="00182DE4" w:rsidRDefault="00182DE4" w:rsidP="00182D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Общая протяженность газопроводов составляет 50443 км, в том числе: </w:t>
      </w:r>
    </w:p>
    <w:p w:rsidR="00182DE4" w:rsidRDefault="00182DE4" w:rsidP="00182D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высокого давления — 3925 км; </w:t>
      </w:r>
    </w:p>
    <w:p w:rsidR="00182DE4" w:rsidRDefault="00182DE4" w:rsidP="00182D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низкого давления — 46518км. </w:t>
      </w:r>
    </w:p>
    <w:p w:rsidR="00182DE4" w:rsidRDefault="00182DE4" w:rsidP="00182D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Направления использования газа: </w:t>
      </w:r>
    </w:p>
    <w:p w:rsidR="00182DE4" w:rsidRDefault="00182DE4" w:rsidP="00182DE4">
      <w:pPr>
        <w:jc w:val="both"/>
        <w:rPr>
          <w:sz w:val="24"/>
          <w:szCs w:val="24"/>
        </w:rPr>
      </w:pPr>
      <w:r>
        <w:rPr>
          <w:sz w:val="24"/>
          <w:szCs w:val="24"/>
        </w:rPr>
        <w:t>- на хозяйственно-бытовые нужды населения;</w:t>
      </w:r>
    </w:p>
    <w:p w:rsidR="00182DE4" w:rsidRDefault="00182DE4" w:rsidP="00182D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качестве энергоносителя для </w:t>
      </w:r>
      <w:proofErr w:type="spellStart"/>
      <w:r>
        <w:rPr>
          <w:sz w:val="24"/>
          <w:szCs w:val="24"/>
        </w:rPr>
        <w:t>теплоисточников</w:t>
      </w:r>
      <w:proofErr w:type="spellEnd"/>
      <w:r>
        <w:rPr>
          <w:sz w:val="24"/>
          <w:szCs w:val="24"/>
        </w:rPr>
        <w:t xml:space="preserve">. 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Существующая жилая застройка поселения состоит из индивидуальных жилых домов усадебного типа (1-2 этажных).  В индивидуальную застройку усадебного типа газ по газопроводам низкого давления подается для </w:t>
      </w:r>
      <w:proofErr w:type="spellStart"/>
      <w:r>
        <w:rPr>
          <w:sz w:val="24"/>
          <w:szCs w:val="24"/>
        </w:rPr>
        <w:t>пищеприготовления</w:t>
      </w:r>
      <w:proofErr w:type="spellEnd"/>
      <w:r>
        <w:rPr>
          <w:sz w:val="24"/>
          <w:szCs w:val="24"/>
        </w:rPr>
        <w:t xml:space="preserve">, горячего водоснабжения и отопления. В домах усадебной застройки установлены газовые плиты и отопительные котлы. </w:t>
      </w:r>
      <w:r>
        <w:rPr>
          <w:sz w:val="24"/>
          <w:szCs w:val="24"/>
        </w:rPr>
        <w:br/>
        <w:t xml:space="preserve">В МО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сельсовет  сельском поселении 2453 домовладений, из которых газифицировано 2439 или 94,4%, установлено</w:t>
      </w:r>
      <w:r>
        <w:rPr>
          <w:sz w:val="24"/>
          <w:szCs w:val="24"/>
        </w:rPr>
        <w:t xml:space="preserve"> 1047 счетчиков газа. Состояние газоснабжения удовлетворительное.</w:t>
      </w:r>
    </w:p>
    <w:p w:rsidR="00182DE4" w:rsidRDefault="00182DE4" w:rsidP="00182DE4">
      <w:pPr>
        <w:ind w:firstLine="709"/>
        <w:jc w:val="both"/>
        <w:rPr>
          <w:sz w:val="24"/>
          <w:szCs w:val="24"/>
        </w:rPr>
      </w:pPr>
    </w:p>
    <w:p w:rsidR="00182DE4" w:rsidRDefault="00182DE4" w:rsidP="00182DE4">
      <w:pPr>
        <w:numPr>
          <w:ilvl w:val="0"/>
          <w:numId w:val="2"/>
        </w:numPr>
        <w:ind w:right="29" w:hanging="720"/>
        <w:jc w:val="center"/>
        <w:outlineLvl w:val="1"/>
        <w:rPr>
          <w:b/>
          <w:sz w:val="24"/>
          <w:szCs w:val="24"/>
        </w:rPr>
      </w:pPr>
      <w:bookmarkStart w:id="1" w:name="Par287"/>
      <w:bookmarkEnd w:id="1"/>
      <w:r>
        <w:rPr>
          <w:b/>
          <w:sz w:val="24"/>
          <w:szCs w:val="24"/>
        </w:rPr>
        <w:t>План развития села Сакмара</w:t>
      </w:r>
    </w:p>
    <w:p w:rsidR="00182DE4" w:rsidRDefault="00182DE4" w:rsidP="00182DE4">
      <w:pPr>
        <w:pStyle w:val="aa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План развития села Сакмара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района Оренбургской области учтен в составе программы «</w:t>
      </w:r>
      <w:r>
        <w:rPr>
          <w:color w:val="000000"/>
          <w:spacing w:val="-1"/>
          <w:sz w:val="24"/>
          <w:szCs w:val="24"/>
        </w:rPr>
        <w:t xml:space="preserve">Комплексное развитие систем коммунальной инфраструктуры муниципального образования </w:t>
      </w:r>
      <w:proofErr w:type="spellStart"/>
      <w:r>
        <w:rPr>
          <w:color w:val="000000"/>
          <w:spacing w:val="-1"/>
          <w:sz w:val="24"/>
          <w:szCs w:val="24"/>
        </w:rPr>
        <w:t>Сакмарский</w:t>
      </w:r>
      <w:proofErr w:type="spellEnd"/>
      <w:r>
        <w:rPr>
          <w:color w:val="000000"/>
          <w:spacing w:val="-1"/>
          <w:sz w:val="24"/>
          <w:szCs w:val="24"/>
        </w:rPr>
        <w:t xml:space="preserve"> сельсовет </w:t>
      </w:r>
      <w:proofErr w:type="spellStart"/>
      <w:r>
        <w:rPr>
          <w:color w:val="000000"/>
          <w:spacing w:val="-1"/>
          <w:sz w:val="24"/>
          <w:szCs w:val="24"/>
        </w:rPr>
        <w:t>Сакмарского</w:t>
      </w:r>
      <w:proofErr w:type="spellEnd"/>
      <w:r>
        <w:rPr>
          <w:color w:val="000000"/>
          <w:spacing w:val="-1"/>
          <w:sz w:val="24"/>
          <w:szCs w:val="24"/>
        </w:rPr>
        <w:t xml:space="preserve"> района Оренбургской </w:t>
      </w:r>
      <w:r>
        <w:rPr>
          <w:spacing w:val="-1"/>
          <w:sz w:val="24"/>
          <w:szCs w:val="24"/>
        </w:rPr>
        <w:t>области на 2014-2024 годы» представлен на основании генерального плана, утвержденного р</w:t>
      </w:r>
      <w:r>
        <w:rPr>
          <w:sz w:val="24"/>
          <w:szCs w:val="24"/>
        </w:rPr>
        <w:t xml:space="preserve">ешением Совета депутатов                                          муниципального образования </w:t>
      </w:r>
      <w:proofErr w:type="spellStart"/>
      <w:r>
        <w:rPr>
          <w:color w:val="000000"/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района Оренбургской области от  21.07.2011г. №50. Ориентировочный демографический расчет выполнен с учетом анализа динамики населения поселения за различные периоды при возможном изменении удельного веса, как естественного прироста, так и механического притока в ту или иную сторону. Для оценки потребности МО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в ресурсах территории, социального обеспечения и инженерного обустройства села может рассматриваться  численность населения –  к 2018 году – 5715 чел., к 2028 году – 6300 чел. </w:t>
      </w:r>
    </w:p>
    <w:p w:rsidR="00182DE4" w:rsidRDefault="00182DE4" w:rsidP="00182DE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Изменение численности населения будет зависеть от социально-экономического развития поселения, успешной политики занятости населения, в частности, создания новых рабочих мест, обусловленного развитием различных функций поселения.</w:t>
      </w:r>
    </w:p>
    <w:p w:rsidR="00182DE4" w:rsidRDefault="00182DE4" w:rsidP="00182DE4">
      <w:pPr>
        <w:ind w:right="-179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Дальнейшее развитие функции производителя сельхозпродукции, функции районного центра, функции транспортного узла, могут привести к механическому притоку числа жителей поселения и значительному изменению структуры занятости населения в сторону увеличения производительной и обслуживающей групп, и, в конечном итоге, к укреплению его жизнеспособности и самодостаточности.</w:t>
      </w:r>
    </w:p>
    <w:p w:rsidR="00182DE4" w:rsidRDefault="00182DE4" w:rsidP="00182DE4">
      <w:pPr>
        <w:ind w:right="-179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3. Основные цели и задачи, срок реализации Программы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Целями Программы являются повышение качества и надежности предоставления коммунальных услуг населению, улучшение экологической ситуации в селе Сакмара. Реализация мероприятий по комплексному развитию систем коммунальной инфраструктуры приведет к улучшению состояния коммунальной инфраструктуры и, как следствие, к повышению качества предоставляемых коммунальных услуг. Для достижения поставленных целей необходимо решить следующую основную задачу: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комплексное развитие систем коммунальной инфраструктуры.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Бюджетные средства направляются на реализацию инвестиционных проектов по комплексному развитию систем коммунальной инфраструктуры, связанных с реконструкцией и капитальным ремонтом уже существующих объектов с высоким </w:t>
      </w:r>
      <w:r>
        <w:rPr>
          <w:sz w:val="24"/>
          <w:szCs w:val="24"/>
        </w:rPr>
        <w:lastRenderedPageBreak/>
        <w:t>уровнем износа, а также строительством новых объектов, направленных на замещение объектов с высоким уровнем износа.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Одним из ключевых направлений для решения данной задачи является совершенствование системы тарифного регулирования организаций коммунального комплекса. Решение поставленных задач позволит снизить уровень износа объектов коммунальной инфраструктуры к 2024 году до 50 процентов.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Срок реализации Программы - 2019 - 2024 годы.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1"/>
        <w:rPr>
          <w:b/>
          <w:sz w:val="24"/>
          <w:szCs w:val="24"/>
        </w:rPr>
      </w:pPr>
      <w:bookmarkStart w:id="2" w:name="Par297"/>
      <w:bookmarkEnd w:id="2"/>
      <w:r>
        <w:rPr>
          <w:b/>
          <w:sz w:val="24"/>
          <w:szCs w:val="24"/>
        </w:rPr>
        <w:t>4. Перечень программных мероприятий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Перечень мероприятий предусматривает: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реконструкция объектов муниципальной собственности;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капитальный ремонт объектов коммунальной инфраструктуры.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Перечень мероприятий с разбивкой по каждому источнику финансирования представлен в Приложении №1 – Основные направления финансирования мероприятий.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Результат - снижение рисков возникновения аварийных ситуаций, обеспечение комфортного проживания населения.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bookmarkStart w:id="3" w:name="Par306"/>
      <w:bookmarkEnd w:id="3"/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1"/>
        <w:rPr>
          <w:b/>
          <w:sz w:val="24"/>
          <w:szCs w:val="24"/>
        </w:rPr>
      </w:pPr>
      <w:bookmarkStart w:id="4" w:name="Par334"/>
      <w:bookmarkEnd w:id="4"/>
      <w:r>
        <w:rPr>
          <w:b/>
          <w:sz w:val="24"/>
          <w:szCs w:val="24"/>
        </w:rPr>
        <w:t>5. Ресурсное обеспечение Программы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В рамках Программы предусматривается финансирование мероприятий по модернизации объектов коммунальной инфраструктуры с привлечением средств областного и местного бюджетов.</w:t>
      </w:r>
    </w:p>
    <w:p w:rsidR="00182DE4" w:rsidRDefault="00182DE4" w:rsidP="00182DE4">
      <w:pPr>
        <w:pStyle w:val="a8"/>
        <w:spacing w:before="20" w:after="20"/>
        <w:ind w:firstLine="709"/>
        <w:rPr>
          <w:rFonts w:ascii="Times New Roman" w:hAnsi="Times New Roman"/>
          <w:snapToGrid w:val="0"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Финансирование Программы за счет средств областного бюджета осуществляется в пределах объемов ассигнований, предусмотренных на реализацию Программы законом об областном бюджете на 2019 финансовый год (приложение 10 к Закону </w:t>
      </w:r>
      <w:r>
        <w:rPr>
          <w:rFonts w:ascii="Times New Roman" w:hAnsi="Times New Roman"/>
          <w:snapToGrid w:val="0"/>
          <w:sz w:val="24"/>
          <w:szCs w:val="24"/>
        </w:rPr>
        <w:t xml:space="preserve"> Оренбургской области «Об областном бюджете на 2019 год  и на плановый период 2020 и 2021 годов» от 20 декабря 2018 года  №</w:t>
      </w:r>
      <w:r>
        <w:rPr>
          <w:rFonts w:ascii="Times New Roman" w:hAnsi="Times New Roman"/>
          <w:snapToGrid w:val="0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1417/367-VI-ОЗ</w:t>
      </w:r>
      <w:proofErr w:type="gramEnd"/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Средства областного бюджета на финансирование мероприятий по комплексному развитию систем коммунальной инфраструктуры направляются в виде субсидий в бюджет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 район в зависимости от уровня его бюджетной обеспеченности.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Уровень бюджетной обеспеченности определяется в порядке, установленном </w:t>
      </w:r>
      <w:hyperlink r:id="rId5" w:history="1">
        <w:r>
          <w:rPr>
            <w:rStyle w:val="ab"/>
            <w:sz w:val="24"/>
            <w:szCs w:val="24"/>
          </w:rPr>
          <w:t>Законом</w:t>
        </w:r>
      </w:hyperlink>
      <w:r>
        <w:rPr>
          <w:sz w:val="24"/>
          <w:szCs w:val="24"/>
        </w:rPr>
        <w:t xml:space="preserve"> Оренбургской области от 30 ноября 2005 года N 2738/499-III-ОЗ «О межбюджетных отношениях в Оренбургской области».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1"/>
        <w:rPr>
          <w:b/>
          <w:sz w:val="24"/>
          <w:szCs w:val="24"/>
        </w:rPr>
      </w:pPr>
      <w:bookmarkStart w:id="5" w:name="Par349"/>
      <w:bookmarkEnd w:id="5"/>
      <w:r>
        <w:rPr>
          <w:b/>
          <w:sz w:val="24"/>
          <w:szCs w:val="24"/>
        </w:rPr>
        <w:t>6. Механизм реализации Программы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Программы осуществляется администрацией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район Оренбургской области (далее - администрация) при участии местного самоуправления.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Механизм реализации представляет собой систему отбора муниципальных районов, имеющих конкретные проекты строительства и (или) сметную документацию на капитальный ремонт объектов коммунальной инфраструктуры, для предоставления субсидий из областного бюджета.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субсидий из областного бюджета местным бюджетам осуществляется на основании заключенных соглашений между министерством и администрациями муниципальных районов области.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1"/>
        <w:rPr>
          <w:b/>
          <w:sz w:val="24"/>
          <w:szCs w:val="24"/>
        </w:rPr>
      </w:pPr>
      <w:bookmarkStart w:id="6" w:name="Par388"/>
      <w:bookmarkEnd w:id="6"/>
      <w:r>
        <w:rPr>
          <w:b/>
          <w:sz w:val="24"/>
          <w:szCs w:val="24"/>
        </w:rPr>
        <w:t>7. Организация управления и система контроля</w:t>
      </w:r>
    </w:p>
    <w:p w:rsidR="00182DE4" w:rsidRDefault="00182DE4" w:rsidP="00182DE4">
      <w:pPr>
        <w:tabs>
          <w:tab w:val="num" w:pos="0"/>
        </w:tabs>
        <w:ind w:right="29"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 исполнением Программы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Управление и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мероприятий Программы осуществляются заказчиком Программы.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1"/>
        <w:rPr>
          <w:b/>
          <w:sz w:val="24"/>
          <w:szCs w:val="24"/>
        </w:rPr>
      </w:pPr>
      <w:bookmarkStart w:id="7" w:name="Par399"/>
      <w:bookmarkEnd w:id="7"/>
      <w:r>
        <w:rPr>
          <w:b/>
          <w:sz w:val="24"/>
          <w:szCs w:val="24"/>
        </w:rPr>
        <w:t>8. Оценка социально-экономической эффективности Программы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Эффективность реализации Программы и использование выделенных на нее средств областного и местного бюджета обеспечиваются за счет: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исключения возможности нецелевого использования бюджетных средств;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прозрачности прохождения средств областного и местных бюджетов.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Оценка эффективности реализации Программы осуществляется на основе следующего индикатора: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снижение общего износа основных фондов коммунального сектора.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Успешное выполнение мероприятий Программы к 2024 году обеспечит: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снижение уровня общего износа основных фондов коммунального сектора до 50 процентов к 2024 году;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-повышение качества и надежности коммунальных услуг.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center"/>
        <w:outlineLvl w:val="1"/>
        <w:rPr>
          <w:b/>
          <w:sz w:val="24"/>
          <w:szCs w:val="24"/>
        </w:rPr>
      </w:pPr>
      <w:bookmarkStart w:id="8" w:name="Par412"/>
      <w:bookmarkEnd w:id="8"/>
      <w:r>
        <w:rPr>
          <w:b/>
          <w:sz w:val="24"/>
          <w:szCs w:val="24"/>
        </w:rPr>
        <w:t>9. Риски Программы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Внешние риски: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стихийные бедствия и чрезвычайные ситуации;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изменения в законодательстве, регулирующем сферу жилищно-коммунального хозяйства.</w:t>
      </w:r>
    </w:p>
    <w:p w:rsidR="00182DE4" w:rsidRDefault="00182DE4" w:rsidP="00182DE4">
      <w:pPr>
        <w:tabs>
          <w:tab w:val="num" w:pos="0"/>
        </w:tabs>
        <w:ind w:right="29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внутренним рискам можно отнести недостаточное взаимодействие министерства, администрации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района Оренбургской области и хозяйствующих субъектов, осуществляющих деятельность по реализации мероприятий Программы, которое может быть устранено путем заключения соглашений и проведения других мероприятий.</w:t>
      </w:r>
    </w:p>
    <w:p w:rsidR="00182DE4" w:rsidRDefault="00182DE4" w:rsidP="00182DE4">
      <w:pPr>
        <w:shd w:val="clear" w:color="auto" w:fill="FFFFFF"/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shd w:val="clear" w:color="auto" w:fill="FFFFFF"/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shd w:val="clear" w:color="auto" w:fill="FFFFFF"/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182DE4" w:rsidRDefault="00182DE4" w:rsidP="00182DE4">
      <w:pPr>
        <w:shd w:val="clear" w:color="auto" w:fill="FFFFFF"/>
        <w:tabs>
          <w:tab w:val="num" w:pos="0"/>
        </w:tabs>
        <w:ind w:right="29" w:firstLine="426"/>
        <w:jc w:val="both"/>
        <w:rPr>
          <w:sz w:val="24"/>
          <w:szCs w:val="24"/>
        </w:rPr>
      </w:pPr>
    </w:p>
    <w:p w:rsidR="00B02442" w:rsidRDefault="00B02442"/>
    <w:sectPr w:rsidR="00B02442" w:rsidSect="00B02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F09D7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BE55952"/>
    <w:multiLevelType w:val="hybridMultilevel"/>
    <w:tmpl w:val="D966A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82DE4"/>
    <w:rsid w:val="00182DE4"/>
    <w:rsid w:val="00B02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2DE4"/>
    <w:pPr>
      <w:keepNext/>
      <w:widowControl/>
      <w:autoSpaceDE/>
      <w:autoSpaceDN/>
      <w:adjustRightInd/>
      <w:jc w:val="center"/>
      <w:outlineLvl w:val="0"/>
    </w:pPr>
    <w:rPr>
      <w:sz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2DE4"/>
    <w:rPr>
      <w:rFonts w:ascii="Times New Roman" w:eastAsia="Times New Roman" w:hAnsi="Times New Roman" w:cs="Times New Roman"/>
      <w:sz w:val="24"/>
      <w:szCs w:val="20"/>
      <w:lang/>
    </w:rPr>
  </w:style>
  <w:style w:type="paragraph" w:styleId="a3">
    <w:name w:val="Normal (Web)"/>
    <w:basedOn w:val="a"/>
    <w:uiPriority w:val="99"/>
    <w:unhideWhenUsed/>
    <w:rsid w:val="00182DE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Title"/>
    <w:basedOn w:val="a"/>
    <w:link w:val="a5"/>
    <w:uiPriority w:val="99"/>
    <w:qFormat/>
    <w:rsid w:val="00182DE4"/>
    <w:pPr>
      <w:widowControl/>
      <w:autoSpaceDE/>
      <w:autoSpaceDN/>
      <w:adjustRightInd/>
      <w:jc w:val="center"/>
    </w:pPr>
    <w:rPr>
      <w:sz w:val="24"/>
      <w:lang/>
    </w:rPr>
  </w:style>
  <w:style w:type="character" w:customStyle="1" w:styleId="a5">
    <w:name w:val="Название Знак"/>
    <w:basedOn w:val="a0"/>
    <w:link w:val="a4"/>
    <w:uiPriority w:val="99"/>
    <w:rsid w:val="00182DE4"/>
    <w:rPr>
      <w:rFonts w:ascii="Times New Roman" w:eastAsia="Times New Roman" w:hAnsi="Times New Roman" w:cs="Times New Roman"/>
      <w:sz w:val="24"/>
      <w:szCs w:val="20"/>
      <w:lang/>
    </w:rPr>
  </w:style>
  <w:style w:type="paragraph" w:styleId="a6">
    <w:name w:val="Body Text Indent"/>
    <w:basedOn w:val="a"/>
    <w:link w:val="a7"/>
    <w:uiPriority w:val="99"/>
    <w:semiHidden/>
    <w:unhideWhenUsed/>
    <w:rsid w:val="00182DE4"/>
    <w:pPr>
      <w:widowControl/>
      <w:autoSpaceDE/>
      <w:autoSpaceDN/>
      <w:adjustRightInd/>
    </w:pPr>
    <w:rPr>
      <w:sz w:val="28"/>
      <w:lang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82DE4"/>
    <w:rPr>
      <w:rFonts w:ascii="Times New Roman" w:eastAsia="Times New Roman" w:hAnsi="Times New Roman" w:cs="Times New Roman"/>
      <w:sz w:val="28"/>
      <w:szCs w:val="20"/>
      <w:lang/>
    </w:rPr>
  </w:style>
  <w:style w:type="paragraph" w:styleId="a8">
    <w:name w:val="No Spacing"/>
    <w:uiPriority w:val="99"/>
    <w:qFormat/>
    <w:rsid w:val="00182D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182DE4"/>
    <w:pPr>
      <w:widowControl/>
      <w:autoSpaceDE/>
      <w:autoSpaceDN/>
      <w:adjustRightInd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a">
    <w:name w:val="Мария"/>
    <w:basedOn w:val="a"/>
    <w:uiPriority w:val="99"/>
    <w:rsid w:val="00182DE4"/>
    <w:pPr>
      <w:widowControl/>
      <w:autoSpaceDE/>
      <w:autoSpaceDN/>
      <w:adjustRightInd/>
      <w:spacing w:before="240" w:after="120"/>
      <w:ind w:firstLine="709"/>
      <w:jc w:val="both"/>
    </w:pPr>
    <w:rPr>
      <w:sz w:val="26"/>
      <w:szCs w:val="18"/>
    </w:rPr>
  </w:style>
  <w:style w:type="character" w:styleId="ab">
    <w:name w:val="Hyperlink"/>
    <w:basedOn w:val="a0"/>
    <w:uiPriority w:val="99"/>
    <w:semiHidden/>
    <w:unhideWhenUsed/>
    <w:rsid w:val="00182D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2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0F8B232171BFF36D2CBD677126A67F8B5F60CADB8C6720735EDD513B9BB5F65t6t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4112</Words>
  <Characters>23443</Characters>
  <Application>Microsoft Office Word</Application>
  <DocSecurity>0</DocSecurity>
  <Lines>195</Lines>
  <Paragraphs>54</Paragraphs>
  <ScaleCrop>false</ScaleCrop>
  <Company/>
  <LinksUpToDate>false</LinksUpToDate>
  <CharactersWithSpaces>27501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2021-02-15T09:31:00Z</dcterms:created>
  <dcterms:modified xsi:type="dcterms:W3CDTF">2021-02-15T09:31:00Z</dcterms:modified>
</cp:coreProperties>
</file>